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Arial" w:cs="Arial" w:eastAsia="Arial" w:hAnsi="Arial"/>
          <w:b/>
          <w:bCs/>
          <w:sz w:val="28"/>
          <w:szCs w:val="28"/>
        </w:rPr>
        <w:t xml:space="preserve">Saugos struktūruotas vertinimas</w:t>
      </w:r>
    </w:p>
    <w:p>
      <w:pPr>
        <w:spacing w:after="80"/>
      </w:pPr>
      <w:r>
        <w:rPr>
          <w:rFonts w:ascii="Arial" w:cs="Arial" w:eastAsia="Arial" w:hAnsi="Arial"/>
          <w:b/>
          <w:bCs/>
          <w:sz w:val="22"/>
          <w:szCs w:val="22"/>
        </w:rPr>
        <w:t xml:space="preserve">Tipas: </w:t>
      </w:r>
      <w:r>
        <w:rPr>
          <w:rFonts w:ascii="Arial" w:cs="Arial" w:eastAsia="Arial" w:hAnsi="Arial"/>
          <w:sz w:val="22"/>
          <w:szCs w:val="22"/>
        </w:rPr>
        <w:t xml:space="preserve">A — Vertinimo pamoka (7 iš 7 saugos modulyje)</w:t>
      </w:r>
    </w:p>
    <w:p>
      <w:pPr>
        <w:spacing w:after="80"/>
      </w:pPr>
      <w:r>
        <w:rPr>
          <w:rFonts w:ascii="Arial" w:cs="Arial" w:eastAsia="Arial" w:hAnsi="Arial"/>
          <w:b/>
          <w:bCs/>
          <w:sz w:val="22"/>
          <w:szCs w:val="22"/>
        </w:rPr>
        <w:t xml:space="preserve">Klasė: </w:t>
      </w:r>
      <w:r>
        <w:rPr>
          <w:rFonts w:ascii="Arial" w:cs="Arial" w:eastAsia="Arial" w:hAnsi="Arial"/>
          <w:sz w:val="22"/>
          <w:szCs w:val="22"/>
        </w:rPr>
        <w:t xml:space="preserve">9</w:t>
      </w:r>
    </w:p>
    <w:p>
      <w:pPr>
        <w:spacing w:after="80"/>
      </w:pPr>
      <w:r>
        <w:rPr>
          <w:rFonts w:ascii="Arial" w:cs="Arial" w:eastAsia="Arial" w:hAnsi="Arial"/>
          <w:b/>
          <w:bCs/>
          <w:sz w:val="22"/>
          <w:szCs w:val="22"/>
        </w:rPr>
        <w:t xml:space="preserve">Trukmė: </w:t>
      </w:r>
      <w:r>
        <w:rPr>
          <w:rFonts w:ascii="Arial" w:cs="Arial" w:eastAsia="Arial" w:hAnsi="Arial"/>
          <w:sz w:val="22"/>
          <w:szCs w:val="22"/>
        </w:rPr>
        <w:t xml:space="preserve">~40 min.</w:t>
      </w:r>
    </w:p>
    <w:p>
      <w:pPr>
        <w:spacing w:after="80"/>
      </w:pPr>
      <w:r>
        <w:rPr>
          <w:rFonts w:ascii="Arial" w:cs="Arial" w:eastAsia="Arial" w:hAnsi="Arial"/>
          <w:b/>
          <w:bCs/>
          <w:sz w:val="22"/>
          <w:szCs w:val="22"/>
        </w:rPr>
        <w:t xml:space="preserve">Forma: </w:t>
      </w:r>
      <w:r>
        <w:rPr>
          <w:rFonts w:ascii="Arial" w:cs="Arial" w:eastAsia="Arial" w:hAnsi="Arial"/>
          <w:sz w:val="22"/>
          <w:szCs w:val="22"/>
        </w:rPr>
        <w:t xml:space="preserve">Vertinimo pamoka</w:t>
      </w:r>
    </w:p>
    <w:p>
      <w:pPr>
        <w:spacing w:after="80"/>
      </w:pPr>
      <w:r>
        <w:rPr>
          <w:rFonts w:ascii="Arial" w:cs="Arial" w:eastAsia="Arial" w:hAnsi="Arial"/>
          <w:b/>
          <w:bCs/>
          <w:sz w:val="22"/>
          <w:szCs w:val="22"/>
        </w:rPr>
        <w:t xml:space="preserve">Temos ribos: </w:t>
      </w:r>
      <w:r>
        <w:rPr>
          <w:rFonts w:ascii="Arial" w:cs="Arial" w:eastAsia="Arial" w:hAnsi="Arial"/>
          <w:sz w:val="22"/>
          <w:szCs w:val="22"/>
        </w:rPr>
        <w:t xml:space="preserve">Formalus vertinimas, apimantis visą saugos modulį: ergonomiką, privatumo apsaugą, internetines grėsmes ir skaitmeninių technologijų poveikį aplinkai. Mišraus formato užduotis: scenarijų pasirinkimai ir trumpi rašytiniai pagrindimai.</w:t>
      </w:r>
    </w:p>
    <w:p>
      <w:pPr>
        <w:pStyle w:val="Heading2"/>
        <w:spacing w:after="120" w:before="240"/>
      </w:pPr>
      <w:r>
        <w:rPr>
          <w:rFonts w:ascii="Arial" w:cs="Arial" w:eastAsia="Arial" w:hAnsi="Arial"/>
          <w:b/>
          <w:bCs/>
          <w:sz w:val="24"/>
          <w:szCs w:val="24"/>
        </w:rPr>
        <w:t xml:space="preserve">Pamokos tikslai</w:t>
      </w:r>
    </w:p>
    <w:p>
      <w:pPr>
        <w:pStyle w:val="ListParagraph"/>
        <w:numPr>
          <w:ilvl w:val="0"/>
          <w:numId w:val="2"/>
        </w:numPr>
        <w:spacing w:after="80"/>
      </w:pPr>
      <w:r>
        <w:rPr>
          <w:rFonts w:ascii="Arial" w:cs="Arial" w:eastAsia="Arial" w:hAnsi="Arial"/>
          <w:sz w:val="22"/>
          <w:szCs w:val="22"/>
        </w:rPr>
        <w:t xml:space="preserve">Pritaikyti saugos principus nematytuose scenarijuose ir pasirinkti teisingą veiksmą.</w:t>
      </w:r>
    </w:p>
    <w:p>
      <w:pPr>
        <w:pStyle w:val="ListParagraph"/>
        <w:numPr>
          <w:ilvl w:val="0"/>
          <w:numId w:val="2"/>
        </w:numPr>
        <w:spacing w:after="80"/>
      </w:pPr>
      <w:r>
        <w:rPr>
          <w:rFonts w:ascii="Arial" w:cs="Arial" w:eastAsia="Arial" w:hAnsi="Arial"/>
          <w:sz w:val="22"/>
          <w:szCs w:val="22"/>
        </w:rPr>
        <w:t xml:space="preserve">Pagrįsti savo sprendimus trumpais rašytiniais argumentais.</w:t>
      </w:r>
    </w:p>
    <w:p>
      <w:pPr>
        <w:pStyle w:val="ListParagraph"/>
        <w:numPr>
          <w:ilvl w:val="0"/>
          <w:numId w:val="2"/>
        </w:numPr>
        <w:spacing w:after="80"/>
      </w:pPr>
      <w:r>
        <w:rPr>
          <w:rFonts w:ascii="Arial" w:cs="Arial" w:eastAsia="Arial" w:hAnsi="Arial"/>
          <w:sz w:val="22"/>
          <w:szCs w:val="22"/>
        </w:rPr>
        <w:t xml:space="preserve">Parodyti integruotą supratimą visose keturiose saugos srityse.</w:t>
      </w:r>
    </w:p>
    <w:p>
      <w:pPr>
        <w:pStyle w:val="Heading2"/>
        <w:spacing w:after="120" w:before="240"/>
      </w:pPr>
      <w:r>
        <w:rPr>
          <w:rFonts w:ascii="Arial" w:cs="Arial" w:eastAsia="Arial" w:hAnsi="Arial"/>
          <w:b/>
          <w:bCs/>
          <w:sz w:val="24"/>
          <w:szCs w:val="24"/>
        </w:rPr>
        <w:t xml:space="preserve">Trumpas paaiškinimas — ~3 min.</w:t>
      </w:r>
    </w:p>
    <w:p>
      <w:pPr>
        <w:spacing w:after="120"/>
      </w:pPr>
      <w:r>
        <w:rPr>
          <w:rFonts w:ascii="Arial" w:cs="Arial" w:eastAsia="Arial" w:hAnsi="Arial"/>
          <w:sz w:val="22"/>
          <w:szCs w:val="22"/>
        </w:rPr>
        <w:t xml:space="preserve">Paaiškinkite vertinimo tvarką:</w:t>
      </w:r>
    </w:p>
    <w:p>
      <w:pPr>
        <w:pStyle w:val="ListParagraph"/>
        <w:numPr>
          <w:ilvl w:val="0"/>
          <w:numId w:val="2"/>
        </w:numPr>
        <w:spacing w:after="80"/>
      </w:pPr>
      <w:r>
        <w:rPr>
          <w:rFonts w:ascii="Arial" w:cs="Arial" w:eastAsia="Arial" w:hAnsi="Arial"/>
          <w:sz w:val="22"/>
          <w:szCs w:val="22"/>
        </w:rPr>
        <w:t xml:space="preserve">Vertinimas vyksta individualiai, raštu.</w:t>
      </w:r>
    </w:p>
    <w:p>
      <w:pPr>
        <w:pStyle w:val="ListParagraph"/>
        <w:numPr>
          <w:ilvl w:val="0"/>
          <w:numId w:val="2"/>
        </w:numPr>
        <w:spacing w:after="80"/>
      </w:pPr>
      <w:r>
        <w:rPr>
          <w:rFonts w:ascii="Arial" w:cs="Arial" w:eastAsia="Arial" w:hAnsi="Arial"/>
          <w:sz w:val="22"/>
          <w:szCs w:val="22"/>
        </w:rPr>
        <w:t xml:space="preserve">Užduoties lapą gausite per Google Classroom (arba popierine versija).</w:t>
      </w:r>
    </w:p>
    <w:p>
      <w:pPr>
        <w:pStyle w:val="ListParagraph"/>
        <w:numPr>
          <w:ilvl w:val="0"/>
          <w:numId w:val="2"/>
        </w:numPr>
        <w:spacing w:after="80"/>
      </w:pPr>
      <w:r>
        <w:rPr>
          <w:rFonts w:ascii="Arial" w:cs="Arial" w:eastAsia="Arial" w:hAnsi="Arial"/>
          <w:sz w:val="22"/>
          <w:szCs w:val="22"/>
        </w:rPr>
        <w:t xml:space="preserve">Laikas: ~35 min.</w:t>
      </w:r>
    </w:p>
    <w:p>
      <w:pPr>
        <w:pStyle w:val="ListParagraph"/>
        <w:numPr>
          <w:ilvl w:val="0"/>
          <w:numId w:val="2"/>
        </w:numPr>
        <w:spacing w:after="80"/>
      </w:pPr>
      <w:r>
        <w:rPr>
          <w:rFonts w:ascii="Arial" w:cs="Arial" w:eastAsia="Arial" w:hAnsi="Arial"/>
          <w:sz w:val="22"/>
          <w:szCs w:val="22"/>
        </w:rPr>
        <w:t xml:space="preserve">Bus 8–10 klausimų iš visų keturių sričių.</w:t>
      </w:r>
    </w:p>
    <w:p>
      <w:pPr>
        <w:pStyle w:val="ListParagraph"/>
        <w:numPr>
          <w:ilvl w:val="0"/>
          <w:numId w:val="2"/>
        </w:numPr>
        <w:spacing w:after="80"/>
      </w:pPr>
      <w:r>
        <w:rPr>
          <w:rFonts w:ascii="Arial" w:cs="Arial" w:eastAsia="Arial" w:hAnsi="Arial"/>
          <w:sz w:val="22"/>
          <w:szCs w:val="22"/>
        </w:rPr>
        <w:t xml:space="preserve">Kiekviename klausime: pasirinkite teisingą veiksmą ir pagrįskite „nes...“ formatu.</w:t>
      </w:r>
    </w:p>
    <w:p>
      <w:pPr>
        <w:pStyle w:val="ListParagraph"/>
        <w:numPr>
          <w:ilvl w:val="0"/>
          <w:numId w:val="2"/>
        </w:numPr>
        <w:spacing w:after="80"/>
      </w:pPr>
      <w:r>
        <w:rPr>
          <w:rFonts w:ascii="Arial" w:cs="Arial" w:eastAsia="Arial" w:hAnsi="Arial"/>
          <w:sz w:val="22"/>
          <w:szCs w:val="22"/>
        </w:rPr>
        <w:t xml:space="preserve">Kuo konkretesnis pagrindimas — tuo daugiau taškų.</w:t>
      </w:r>
    </w:p>
    <w:p>
      <w:pPr>
        <w:spacing w:after="120"/>
      </w:pPr>
      <w:r>
        <w:rPr>
          <w:rFonts w:ascii="Arial" w:cs="Arial" w:eastAsia="Arial" w:hAnsi="Arial"/>
          <w:sz w:val="22"/>
          <w:szCs w:val="22"/>
        </w:rPr>
        <w:t xml:space="preserve">Atsakykite į mokinių klausimus dėl tvarkos. Po to — išdalinkite užduotis.</w:t>
      </w:r>
    </w:p>
    <w:p>
      <w:pPr>
        <w:pStyle w:val="Heading2"/>
        <w:spacing w:after="120" w:before="240"/>
      </w:pPr>
      <w:r>
        <w:rPr>
          <w:rFonts w:ascii="Arial" w:cs="Arial" w:eastAsia="Arial" w:hAnsi="Arial"/>
          <w:b/>
          <w:bCs/>
          <w:sz w:val="24"/>
          <w:szCs w:val="24"/>
        </w:rPr>
        <w:t xml:space="preserve">Vertinimo užduotis — ~34 min.</w:t>
      </w:r>
    </w:p>
    <w:p>
      <w:pPr>
        <w:spacing w:after="120"/>
      </w:pPr>
      <w:r>
        <w:rPr>
          <w:rFonts w:ascii="Arial" w:cs="Arial" w:eastAsia="Arial" w:hAnsi="Arial"/>
          <w:sz w:val="22"/>
          <w:szCs w:val="22"/>
        </w:rPr>
        <w:t xml:space="preserve">Mokiniai dirba individualiai ir tyliai.</w:t>
      </w:r>
    </w:p>
    <w:p>
      <w:pPr>
        <w:spacing w:after="120"/>
      </w:pPr>
      <w:r>
        <w:rPr>
          <w:rFonts w:ascii="Arial" w:cs="Arial" w:eastAsia="Arial" w:hAnsi="Arial"/>
          <w:b/>
          <w:bCs/>
          <w:sz w:val="22"/>
          <w:szCs w:val="22"/>
        </w:rPr>
        <w:t xml:space="preserve">Vertinimo užduoties pavyzdinė struktūra: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c>
          <w:tcPr>
            <w:tcW w:type="dxa" w:w="4061"/>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2"/>
                <w:szCs w:val="22"/>
              </w:rPr>
              <w:t xml:space="preserve">Sritis</w:t>
            </w:r>
          </w:p>
        </w:tc>
        <w:tc>
          <w:tcPr>
            <w:tcW w:type="dxa" w:w="496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2"/>
                <w:szCs w:val="22"/>
              </w:rPr>
              <w:t xml:space="preserve">Klausimų tipai</w:t>
            </w:r>
          </w:p>
        </w:tc>
      </w:tr>
      <w:tr>
        <w:tc>
          <w:tcPr>
            <w:tcW w:type="dxa" w:w="406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Ergonomika</w:t>
            </w:r>
          </w:p>
        </w:tc>
        <w:tc>
          <w:tcPr>
            <w:tcW w:type="dxa" w:w="496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Situacija + taisyklingos laikysenos identifikavimas, priežasčių paaiškinimas</w:t>
            </w:r>
          </w:p>
        </w:tc>
      </w:tr>
      <w:tr>
        <w:tc>
          <w:tcPr>
            <w:tcW w:type="dxa" w:w="406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Privatumas</w:t>
            </w:r>
          </w:p>
        </w:tc>
        <w:tc>
          <w:tcPr>
            <w:tcW w:type="dxa" w:w="496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Scenarijus + saugaus/nesaugaus elgesio pasirinkimas, slaptažodžio vertinimas</w:t>
            </w:r>
          </w:p>
        </w:tc>
      </w:tr>
      <w:tr>
        <w:tc>
          <w:tcPr>
            <w:tcW w:type="dxa" w:w="406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Internetinės grėsmės</w:t>
            </w:r>
          </w:p>
        </w:tc>
        <w:tc>
          <w:tcPr>
            <w:tcW w:type="dxa" w:w="496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Grėsmės tipo atpažinimas, reagavimo veiksmo pasirinkimas ir pagrindimas</w:t>
            </w:r>
          </w:p>
        </w:tc>
      </w:tr>
      <w:tr>
        <w:tc>
          <w:tcPr>
            <w:tcW w:type="dxa" w:w="406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Aplinkos poveikis</w:t>
            </w:r>
          </w:p>
        </w:tc>
        <w:tc>
          <w:tcPr>
            <w:tcW w:type="dxa" w:w="496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2"/>
                <w:szCs w:val="22"/>
              </w:rPr>
              <w:t xml:space="preserve">Situacija + poveikio krypties identifikavimas, sprendimo pasiūlymas</w:t>
            </w:r>
          </w:p>
        </w:tc>
      </w:tr>
    </w:tbl>
    <w:p>
      <w:pPr>
        <w:spacing w:after="120"/>
      </w:pPr>
      <w:r>
        <w:rPr>
          <w:rFonts w:ascii="Arial" w:cs="Arial" w:eastAsia="Arial" w:hAnsi="Arial"/>
          <w:b/>
          <w:bCs/>
          <w:sz w:val="22"/>
          <w:szCs w:val="22"/>
        </w:rPr>
        <w:t xml:space="preserve">Mokytojo veiksmai: </w:t>
      </w:r>
      <w:r>
        <w:rPr>
          <w:rFonts w:ascii="Arial" w:cs="Arial" w:eastAsia="Arial" w:hAnsi="Arial"/>
          <w:sz w:val="22"/>
          <w:szCs w:val="22"/>
        </w:rPr>
        <w:t xml:space="preserve">Sėdėkite prie stalo arba tyliai vaikščiokite. Atsakinėkite tik į klausimus dėl užduoties formuluočių (ne turinio). Stebėkite laiką — įpusėjus laikui, praneškite mokiniams.</w:t>
      </w:r>
    </w:p>
    <w:p>
      <w:pPr>
        <w:spacing w:after="120"/>
      </w:pPr>
      <w:r>
        <w:rPr>
          <w:rFonts w:ascii="Arial" w:cs="Arial" w:eastAsia="Arial" w:hAnsi="Arial"/>
          <w:b/>
          <w:bCs/>
          <w:sz w:val="22"/>
          <w:szCs w:val="22"/>
        </w:rPr>
        <w:t xml:space="preserve">Likus ~5 min.: </w:t>
      </w:r>
      <w:r>
        <w:rPr>
          <w:rFonts w:ascii="Arial" w:cs="Arial" w:eastAsia="Arial" w:hAnsi="Arial"/>
          <w:sz w:val="22"/>
          <w:szCs w:val="22"/>
        </w:rPr>
        <w:t xml:space="preserve">Praneškite, kad laikas baigiasi. Priminkite patikrinti, ar visi klausimai atsakyti.</w:t>
      </w:r>
    </w:p>
    <w:p>
      <w:pPr>
        <w:spacing w:after="120"/>
      </w:pPr>
      <w:r>
        <w:rPr>
          <w:rFonts w:ascii="Arial" w:cs="Arial" w:eastAsia="Arial" w:hAnsi="Arial"/>
          <w:sz w:val="22"/>
          <w:szCs w:val="22"/>
        </w:rPr>
        <w:t xml:space="preserve">Surinkite darbus arba įsitikinkite, kad visi pateikė per Google Classroom.</w:t>
      </w:r>
    </w:p>
    <w:p>
      <w:pPr>
        <w:pStyle w:val="Heading2"/>
        <w:spacing w:after="120" w:before="240"/>
      </w:pPr>
      <w:r>
        <w:rPr>
          <w:rFonts w:ascii="Arial" w:cs="Arial" w:eastAsia="Arial" w:hAnsi="Arial"/>
          <w:b/>
          <w:bCs/>
          <w:sz w:val="24"/>
          <w:szCs w:val="24"/>
        </w:rPr>
        <w:t xml:space="preserve">Pamokos aprašymas (dienynui)</w:t>
      </w:r>
    </w:p>
    <w:p>
      <w:pPr>
        <w:spacing w:after="120"/>
      </w:pPr>
      <w:r>
        <w:rPr>
          <w:rFonts w:ascii="Arial" w:cs="Arial" w:eastAsia="Arial" w:hAnsi="Arial"/>
          <w:sz w:val="22"/>
          <w:szCs w:val="22"/>
        </w:rPr>
        <w:t xml:space="preserve">Pamokoje vyko formalus saugos modulio vertinimas. Mokiniai individualiai atliko mišraus formato užduotį, apimančią ergonomiką, privatumo apsaugą, internetines grėsmes ir skaitmeninių technologijų poveikį aplinkai. Kiekviename klausime reikėjo pasirinkti teisingą veiksmą ir pagrįsti sprendimą raštu.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2026-03-21T14:15:40.229Z</dcterms:created>
  <dcterms:modified xsi:type="dcterms:W3CDTF">2026-03-21T14:15:40.229Z</dcterms:modified>
</cp:coreProperties>
</file>

<file path=docProps/custom.xml><?xml version="1.0" encoding="utf-8"?>
<Properties xmlns="http://schemas.openxmlformats.org/officeDocument/2006/custom-properties" xmlns:vt="http://schemas.openxmlformats.org/officeDocument/2006/docPropsVTypes"/>
</file>