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ind w:firstLine="720"/>
        <w:rPr>
          <w:rFonts w:ascii="Inter" w:cs="Inter" w:eastAsia="Inter" w:hAnsi="Inter"/>
          <w:b w:val="1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Paulo Lacerda (120202), João Leite (119859), Ellen Sales (117450), Rui Albuquerque (110509)</w:t>
      </w:r>
    </w:p>
    <w:p w:rsidR="00000000" w:rsidDel="00000000" w:rsidP="00000000" w:rsidRDefault="00000000" w:rsidRPr="00000000" w14:paraId="00000002">
      <w:pPr>
        <w:rPr>
          <w:rFonts w:ascii="Inter" w:cs="Inter" w:eastAsia="Inter" w:hAnsi="Inter"/>
          <w:b w:val="1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Grupo 2, Feb 10, 2025</w:t>
      </w:r>
    </w:p>
    <w:p w:rsidR="00000000" w:rsidDel="00000000" w:rsidP="00000000" w:rsidRDefault="00000000" w:rsidRPr="00000000" w14:paraId="00000004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Relatório do Lab 01</w:t>
      </w:r>
    </w:p>
    <w:sdt>
      <w:sdtPr>
        <w:id w:val="336620639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30j0zll">
            <w:r w:rsidDel="00000000" w:rsidR="00000000" w:rsidRPr="00000000">
              <w:rPr>
                <w:rFonts w:ascii="Inter Light" w:cs="Inter Light" w:eastAsia="Inter Light" w:hAnsi="Inter Light"/>
                <w:b w:val="0"/>
                <w:i w:val="0"/>
                <w:smallCaps w:val="0"/>
                <w:strike w:val="0"/>
                <w:color w:val="1155cc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Introdução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Inter Light" w:cs="Inter Light" w:eastAsia="Inter Light" w:hAnsi="Inter Light"/>
                <w:b w:val="0"/>
                <w:i w:val="0"/>
                <w:smallCaps w:val="0"/>
                <w:strike w:val="0"/>
                <w:color w:val="1155cc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Distribuição do trabalho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Inter Light" w:cs="Inter Light" w:eastAsia="Inter Light" w:hAnsi="Inter Light"/>
                <w:b w:val="0"/>
                <w:i w:val="0"/>
                <w:smallCaps w:val="0"/>
                <w:strike w:val="0"/>
                <w:color w:val="1155cc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Referências e materiais consultados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Inter Light" w:cs="Inter Light" w:eastAsia="Inter Light" w:hAnsi="Inter Light"/>
                <w:b w:val="0"/>
                <w:i w:val="0"/>
                <w:smallCaps w:val="0"/>
                <w:strike w:val="0"/>
                <w:color w:val="1155cc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Atividades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i w:val="0"/>
                <w:smallCaps w:val="0"/>
                <w:strike w:val="0"/>
                <w:color w:val="1155cc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Atividade </w:t>
            </w:r>
          </w:hyperlink>
          <w:r w:rsidDel="00000000" w:rsidR="00000000" w:rsidRPr="00000000">
            <w:rPr>
              <w:color w:val="1155cc"/>
              <w:sz w:val="22"/>
              <w:szCs w:val="22"/>
              <w:u w:val="single"/>
              <w:rtl w:val="0"/>
            </w:rPr>
            <w:t xml:space="preserve">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3dy6vkm">
            <w:r w:rsidDel="00000000" w:rsidR="00000000" w:rsidRPr="00000000">
              <w:rPr>
                <w:i w:val="0"/>
                <w:smallCaps w:val="0"/>
                <w:strike w:val="0"/>
                <w:color w:val="1155cc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Atividade </w:t>
            </w:r>
          </w:hyperlink>
          <w:r w:rsidDel="00000000" w:rsidR="00000000" w:rsidRPr="00000000">
            <w:rPr>
              <w:color w:val="1155cc"/>
              <w:u w:val="single"/>
              <w:rtl w:val="0"/>
            </w:rPr>
            <w:t xml:space="preserve">2</w:t>
          </w:r>
        </w:p>
        <w:p w:rsidR="00000000" w:rsidDel="00000000" w:rsidP="00000000" w:rsidRDefault="00000000" w:rsidRPr="00000000" w14:paraId="0000000B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5j9khz2v6llk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Atividade </w:t>
            </w:r>
          </w:hyperlink>
          <w:hyperlink w:anchor="_5j9khz2v6llk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prdbuj28gz1g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Atividade </w:t>
            </w:r>
          </w:hyperlink>
          <w:hyperlink w:anchor="_prdbuj28gz1g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E">
      <w:pPr>
        <w:pStyle w:val="Heading1"/>
        <w:rPr>
          <w:color w:val="008000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ind w:left="450" w:hanging="45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Distribuição do trabalho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A coordenação deste lab, no nosso grupo, foi assegurada por Paulo Lacerda.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O trabalho resultou das seguintes contribuições: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atividade 1 foi feita pelo aluno Paulo Lacerda. Ficou responsável pela construção do relatório e a respetiva entrega. 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atividade 2 foi realizada pela aluna Ellen Sales 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atividade 3 foi desenvolvida pelo aluno João Leite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atividade 4 foi efetuada pelo aluno Rui Albuquerque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color w:val="008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ind w:firstLine="45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Referências e materiais consultados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Para a realização do relatório os alunos consultaram o pdf disponibilizado no guião do trabalho “3. </w:t>
      </w:r>
      <w:r w:rsidDel="00000000" w:rsidR="00000000" w:rsidRPr="00000000">
        <w:rPr>
          <w:rtl w:val="0"/>
        </w:rPr>
        <w:t xml:space="preserve">Modeling System Workflows: Activity Diagrams - Learning UML 2.0”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>
          <w:color w:val="008000"/>
        </w:rPr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Atividades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ind w:left="0" w:firstLine="0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Atividade 1</w:t>
      </w:r>
    </w:p>
    <w:p w:rsidR="00000000" w:rsidDel="00000000" w:rsidP="00000000" w:rsidRDefault="00000000" w:rsidRPr="00000000" w14:paraId="0000001C">
      <w:pPr>
        <w:pStyle w:val="Heading3"/>
        <w:rPr/>
      </w:pPr>
      <w:bookmarkStart w:colFirst="0" w:colLast="0" w:name="_i7od72wtik9y" w:id="6"/>
      <w:bookmarkEnd w:id="6"/>
      <w:r w:rsidDel="00000000" w:rsidR="00000000" w:rsidRPr="00000000">
        <w:rPr>
          <w:rtl w:val="0"/>
        </w:rPr>
        <w:t xml:space="preserve">1. Initial Node (Início do Processo)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</wp:posOffset>
            </wp:positionH>
            <wp:positionV relativeFrom="paragraph">
              <wp:posOffset>419100</wp:posOffset>
            </wp:positionV>
            <wp:extent cx="306086" cy="288342"/>
            <wp:effectExtent b="0" l="0" r="0" t="0"/>
            <wp:wrapNone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086" cy="2883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         Círculo preto - Indica o ponto de partida do fluxo.</w:t>
      </w:r>
    </w:p>
    <w:p w:rsidR="00000000" w:rsidDel="00000000" w:rsidP="00000000" w:rsidRDefault="00000000" w:rsidRPr="00000000" w14:paraId="0000001E">
      <w:pPr>
        <w:pStyle w:val="Heading3"/>
        <w:rPr/>
      </w:pPr>
      <w:bookmarkStart w:colFirst="0" w:colLast="0" w:name="_ooeehoghbn61" w:id="7"/>
      <w:bookmarkEnd w:id="7"/>
      <w:r w:rsidDel="00000000" w:rsidR="00000000" w:rsidRPr="00000000">
        <w:rPr>
          <w:rtl w:val="0"/>
        </w:rPr>
        <w:t xml:space="preserve">2. Action (Ação)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</wp:posOffset>
            </wp:positionH>
            <wp:positionV relativeFrom="paragraph">
              <wp:posOffset>504825</wp:posOffset>
            </wp:positionV>
            <wp:extent cx="652096" cy="285750"/>
            <wp:effectExtent b="0" l="0" r="0" t="0"/>
            <wp:wrapNone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096" cy="285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      Retângulo com cantos arredondados - Representa uma atividade ou tarefa</w:t>
      </w:r>
    </w:p>
    <w:p w:rsidR="00000000" w:rsidDel="00000000" w:rsidP="00000000" w:rsidRDefault="00000000" w:rsidRPr="00000000" w14:paraId="00000020">
      <w:pPr>
        <w:spacing w:line="360" w:lineRule="auto"/>
        <w:rPr/>
      </w:pPr>
      <w:r w:rsidDel="00000000" w:rsidR="00000000" w:rsidRPr="00000000">
        <w:rPr>
          <w:rtl w:val="0"/>
        </w:rPr>
        <w:t xml:space="preserve">realizada durante o processo.</w:t>
      </w:r>
    </w:p>
    <w:p w:rsidR="00000000" w:rsidDel="00000000" w:rsidP="00000000" w:rsidRDefault="00000000" w:rsidRPr="00000000" w14:paraId="00000021">
      <w:pPr>
        <w:pStyle w:val="Heading3"/>
        <w:rPr/>
      </w:pPr>
      <w:bookmarkStart w:colFirst="0" w:colLast="0" w:name="_nfkjfxaoy2sy" w:id="8"/>
      <w:bookmarkEnd w:id="8"/>
      <w:r w:rsidDel="00000000" w:rsidR="00000000" w:rsidRPr="00000000">
        <w:rPr>
          <w:rtl w:val="0"/>
        </w:rPr>
        <w:t xml:space="preserve">3. Control Flow (Fluxo de controlo)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</wp:posOffset>
            </wp:positionH>
            <wp:positionV relativeFrom="paragraph">
              <wp:posOffset>492063</wp:posOffset>
            </wp:positionV>
            <wp:extent cx="522233" cy="285750"/>
            <wp:effectExtent b="0" l="0" r="0" t="0"/>
            <wp:wrapNone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233" cy="285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 xml:space="preserve">               Seta - Indica a sequência de execução entre as atividades.</w:t>
      </w:r>
    </w:p>
    <w:p w:rsidR="00000000" w:rsidDel="00000000" w:rsidP="00000000" w:rsidRDefault="00000000" w:rsidRPr="00000000" w14:paraId="00000023">
      <w:pPr>
        <w:pStyle w:val="Heading3"/>
        <w:rPr/>
      </w:pPr>
      <w:bookmarkStart w:colFirst="0" w:colLast="0" w:name="_9vyv1cccijjn" w:id="9"/>
      <w:bookmarkEnd w:id="9"/>
      <w:r w:rsidDel="00000000" w:rsidR="00000000" w:rsidRPr="00000000">
        <w:rPr>
          <w:rtl w:val="0"/>
        </w:rPr>
        <w:t xml:space="preserve">4. Decision Node (Nó de decisão)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504825</wp:posOffset>
            </wp:positionV>
            <wp:extent cx="190500" cy="285750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85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      Losango - Representa um ponto de decisão com diferentes caminhos (exemplo: "Sim" e "Não" ou “Aceitar” e “Rejeitar”).</w:t>
      </w:r>
    </w:p>
    <w:p w:rsidR="00000000" w:rsidDel="00000000" w:rsidP="00000000" w:rsidRDefault="00000000" w:rsidRPr="00000000" w14:paraId="00000025">
      <w:pPr>
        <w:pStyle w:val="Heading3"/>
        <w:rPr/>
      </w:pPr>
      <w:bookmarkStart w:colFirst="0" w:colLast="0" w:name="_wd2os5je1vdn" w:id="10"/>
      <w:bookmarkEnd w:id="10"/>
      <w:r w:rsidDel="00000000" w:rsidR="00000000" w:rsidRPr="00000000">
        <w:rPr>
          <w:rtl w:val="0"/>
        </w:rPr>
        <w:t xml:space="preserve">5. Merge e Fork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</wp:posOffset>
            </wp:positionH>
            <wp:positionV relativeFrom="paragraph">
              <wp:posOffset>495300</wp:posOffset>
            </wp:positionV>
            <wp:extent cx="190500" cy="997979"/>
            <wp:effectExtent b="0" l="0" r="0" t="0"/>
            <wp:wrapNone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9979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      Linha horizontal ou vertical -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Fork (Divisão Paralela): Uma linha em que depois se divide em várias linhas e as ações são executadas em paralelo.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Join (Sincronização): Várias setas convergem para uma única linha, indicando que todas as atividades devem ser concluídas antes de continuar.</w:t>
      </w:r>
    </w:p>
    <w:p w:rsidR="00000000" w:rsidDel="00000000" w:rsidP="00000000" w:rsidRDefault="00000000" w:rsidRPr="00000000" w14:paraId="00000029">
      <w:pPr>
        <w:pStyle w:val="Heading3"/>
        <w:rPr/>
      </w:pPr>
      <w:bookmarkStart w:colFirst="0" w:colLast="0" w:name="_k9v9o58fyz4q" w:id="11"/>
      <w:bookmarkEnd w:id="11"/>
      <w:r w:rsidDel="00000000" w:rsidR="00000000" w:rsidRPr="00000000">
        <w:rPr>
          <w:rtl w:val="0"/>
        </w:rPr>
        <w:t xml:space="preserve">6. Activity Final Node (Fim do processo)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476560</wp:posOffset>
            </wp:positionV>
            <wp:extent cx="338667" cy="285750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667" cy="285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 xml:space="preserve">          Círculo preto dentro de outro círculo — Indica o fim do fluxo do processo.</w:t>
      </w:r>
    </w:p>
    <w:p w:rsidR="00000000" w:rsidDel="00000000" w:rsidP="00000000" w:rsidRDefault="00000000" w:rsidRPr="00000000" w14:paraId="0000002B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-16092</wp:posOffset>
            </wp:positionH>
            <wp:positionV relativeFrom="paragraph">
              <wp:posOffset>114300</wp:posOffset>
            </wp:positionV>
            <wp:extent cx="6462755" cy="2731467"/>
            <wp:effectExtent b="0" l="0" r="0" t="0"/>
            <wp:wrapTopAndBottom distB="114300" distT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55" cy="27314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rPr/>
      </w:pPr>
      <w:r w:rsidDel="00000000" w:rsidR="00000000" w:rsidRPr="00000000">
        <w:rPr>
          <w:rtl w:val="0"/>
        </w:rPr>
        <w:t xml:space="preserve">Breve explicação do processo de um pedido: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 pedido começa no nó inicial </w:t>
      </w:r>
    </w:p>
    <w:p w:rsidR="00000000" w:rsidDel="00000000" w:rsidP="00000000" w:rsidRDefault="00000000" w:rsidRPr="00000000" w14:paraId="00000037">
      <w:pPr>
        <w:numPr>
          <w:ilvl w:val="1"/>
          <w:numId w:val="4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 “Receive Order” está à espera de um objeto “Request Order”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 fluxo passa para o estado de decisão sobre o pedido, estando parado no nó de decisão </w:t>
      </w:r>
    </w:p>
    <w:p w:rsidR="00000000" w:rsidDel="00000000" w:rsidP="00000000" w:rsidRDefault="00000000" w:rsidRPr="00000000" w14:paraId="00000039">
      <w:pPr>
        <w:numPr>
          <w:ilvl w:val="1"/>
          <w:numId w:val="4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 o pedido for aceite, o processo continua para a ação “Fill Order”</w:t>
      </w:r>
    </w:p>
    <w:p w:rsidR="00000000" w:rsidDel="00000000" w:rsidP="00000000" w:rsidRDefault="00000000" w:rsidRPr="00000000" w14:paraId="0000003A">
      <w:pPr>
        <w:numPr>
          <w:ilvl w:val="1"/>
          <w:numId w:val="4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 o pedido for rejeitado, o fluxo passa para o Merge Node onde vai juntar tudo e fechar o processo.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Após a aprovação do pedido, o processo atual passa para a ação “Fill order”, onde se vai dividir em dois processos paralelos. O “Send Invoice” e o “Ship Order”.</w:t>
      </w:r>
    </w:p>
    <w:p w:rsidR="00000000" w:rsidDel="00000000" w:rsidP="00000000" w:rsidRDefault="00000000" w:rsidRPr="00000000" w14:paraId="0000003C">
      <w:pPr>
        <w:numPr>
          <w:ilvl w:val="1"/>
          <w:numId w:val="4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Na ação “Send Invoice” a fatura é fabricada e o fluxo passa para a ação “Accept Payment”. </w:t>
      </w:r>
    </w:p>
    <w:p w:rsidR="00000000" w:rsidDel="00000000" w:rsidP="00000000" w:rsidRDefault="00000000" w:rsidRPr="00000000" w14:paraId="0000003D">
      <w:pPr>
        <w:numPr>
          <w:ilvl w:val="1"/>
          <w:numId w:val="4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ação da encomenda é executada em paralelo.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Após as anteriores ações terminarem, as mesmas vão ser sincronizadas.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Uma vez sincronizadas, no “Merge Node” vai ocorrer a união das informações do pedido.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Por fim, a última o processo vai ser encerrado.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atividade acaba no “Activity Final Node” </w:t>
      </w:r>
    </w:p>
    <w:p w:rsidR="00000000" w:rsidDel="00000000" w:rsidP="00000000" w:rsidRDefault="00000000" w:rsidRPr="00000000" w14:paraId="0000004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ind w:left="0" w:firstLine="0"/>
        <w:rPr/>
      </w:pPr>
      <w:bookmarkStart w:colFirst="0" w:colLast="0" w:name="_3dy6vkm" w:id="12"/>
      <w:bookmarkEnd w:id="12"/>
      <w:r w:rsidDel="00000000" w:rsidR="00000000" w:rsidRPr="00000000">
        <w:rPr>
          <w:rtl w:val="0"/>
        </w:rPr>
        <w:t xml:space="preserve">Atividade 2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Para explicar como se faz para pedir uma refeição no quiosque de auto-encomenda numa cadeia de fast food: Inicialmente escolhe-se o pedido no quiosque, depois o método de pagamento, paga-se e se o pedido for aprovado, aguarda o pedido ser entregue, e quando o for, saia do estabelecimento. Caso o pedido seja negado, apenas saia do estabelecimento.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O fluxo da explicação está presente na imagem a seguir: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-481012</wp:posOffset>
            </wp:positionH>
            <wp:positionV relativeFrom="paragraph">
              <wp:posOffset>257175</wp:posOffset>
            </wp:positionV>
            <wp:extent cx="7399856" cy="2950270"/>
            <wp:effectExtent b="0" l="0" r="0" t="0"/>
            <wp:wrapSquare wrapText="bothSides" distB="114300" distT="114300" distL="114300" distR="114300"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99856" cy="29502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ind w:left="0"/>
        <w:rPr/>
      </w:pPr>
      <w:bookmarkStart w:colFirst="0" w:colLast="0" w:name="_xtbctvemvdc0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ind w:left="0"/>
        <w:rPr/>
      </w:pPr>
      <w:bookmarkStart w:colFirst="0" w:colLast="0" w:name="_gz4p9uypbkc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ind w:left="0"/>
        <w:rPr/>
      </w:pPr>
      <w:bookmarkStart w:colFirst="0" w:colLast="0" w:name="_l9tgt1cusbaq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ind w:left="0"/>
        <w:rPr/>
      </w:pPr>
      <w:bookmarkStart w:colFirst="0" w:colLast="0" w:name="_a3f1fpe4yjmn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ind w:left="0"/>
        <w:rPr/>
      </w:pPr>
      <w:bookmarkStart w:colFirst="0" w:colLast="0" w:name="_5j9khz2v6llk" w:id="17"/>
      <w:bookmarkEnd w:id="17"/>
      <w:r w:rsidDel="00000000" w:rsidR="00000000" w:rsidRPr="00000000">
        <w:rPr>
          <w:rtl w:val="0"/>
        </w:rPr>
        <w:t xml:space="preserve">Atividade 3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Considerando o procedimento de defesa de dissertação de mestrado do DETI, usaria os seguintes elementos: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207744</wp:posOffset>
            </wp:positionH>
            <wp:positionV relativeFrom="paragraph">
              <wp:posOffset>558143</wp:posOffset>
            </wp:positionV>
            <wp:extent cx="6019991" cy="3205912"/>
            <wp:effectExtent b="0" l="0" r="0" t="0"/>
            <wp:wrapNone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9991" cy="32059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ind w:left="0"/>
        <w:rPr/>
      </w:pPr>
      <w:bookmarkStart w:colFirst="0" w:colLast="0" w:name="_wrf32ctbhmp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ind w:left="0"/>
        <w:rPr/>
      </w:pPr>
      <w:bookmarkStart w:colFirst="0" w:colLast="0" w:name="_cgw62hks602z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ind w:left="0"/>
        <w:rPr/>
      </w:pPr>
      <w:bookmarkStart w:colFirst="0" w:colLast="0" w:name="_hq3m4ajom9ur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ind w:left="0"/>
        <w:rPr/>
      </w:pPr>
      <w:bookmarkStart w:colFirst="0" w:colLast="0" w:name="_dvucgv1xkbgk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ind w:left="0"/>
        <w:rPr/>
      </w:pPr>
      <w:bookmarkStart w:colFirst="0" w:colLast="0" w:name="_2l67aqwyaxbw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/>
        <w:rPr/>
      </w:pPr>
      <w:r w:rsidDel="00000000" w:rsidR="00000000" w:rsidRPr="00000000">
        <w:rPr>
          <w:rtl w:val="0"/>
        </w:rPr>
        <w:t xml:space="preserve">Tendo em conta que que a partição Dissertações e Secretaria são usadas várias vezes, ou seja tendo um esquema de acontecimentos, depois de passar por estas partições e outras a seguir é necessário voltar para estas anteriores para confirmar se o objeto tem tudo o que é necessário para prosseguir a atividade.</w:t>
      </w:r>
    </w:p>
    <w:p w:rsidR="00000000" w:rsidDel="00000000" w:rsidP="00000000" w:rsidRDefault="00000000" w:rsidRPr="00000000" w14:paraId="0000005E">
      <w:pPr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/>
        <w:rPr/>
      </w:pPr>
      <w:r w:rsidDel="00000000" w:rsidR="00000000" w:rsidRPr="00000000">
        <w:rPr>
          <w:rtl w:val="0"/>
        </w:rPr>
        <w:t xml:space="preserve">Os documentos necessários para o requerimento de admissão a provas de mestrado são:</w:t>
      </w:r>
    </w:p>
    <w:p w:rsidR="00000000" w:rsidDel="00000000" w:rsidP="00000000" w:rsidRDefault="00000000" w:rsidRPr="00000000" w14:paraId="0000006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Curso, nome do aluno, Número Mecanográfico;</w:t>
      </w:r>
    </w:p>
    <w:p w:rsidR="00000000" w:rsidDel="00000000" w:rsidP="00000000" w:rsidRDefault="00000000" w:rsidRPr="00000000" w14:paraId="0000006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Pedido de provas através de minuta dirigida ao Diretor do DETI (Unidade Orgânica - DETI);</w:t>
      </w:r>
    </w:p>
    <w:p w:rsidR="00000000" w:rsidDel="00000000" w:rsidP="00000000" w:rsidRDefault="00000000" w:rsidRPr="00000000" w14:paraId="0000006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Declaração de aceitação assinada pelo Orientador confirmando a conclusão do trabalho de dissertação;</w:t>
      </w:r>
    </w:p>
    <w:p w:rsidR="00000000" w:rsidDel="00000000" w:rsidP="00000000" w:rsidRDefault="00000000" w:rsidRPr="00000000" w14:paraId="0000006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Declaração de Honra , Declaration in Lieu of an Oath;</w:t>
      </w:r>
    </w:p>
    <w:p w:rsidR="00000000" w:rsidDel="00000000" w:rsidP="00000000" w:rsidRDefault="00000000" w:rsidRPr="00000000" w14:paraId="0000006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Proposta de Arguente;</w:t>
      </w:r>
    </w:p>
    <w:p w:rsidR="00000000" w:rsidDel="00000000" w:rsidP="00000000" w:rsidRDefault="00000000" w:rsidRPr="00000000" w14:paraId="0000006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PDF da versão final da Dissertação, formatada segundo as normas. (normas apresentação da Dissertação, modelo da Dissertação, cores por área científica);</w:t>
      </w:r>
    </w:p>
    <w:p w:rsidR="00000000" w:rsidDel="00000000" w:rsidP="00000000" w:rsidRDefault="00000000" w:rsidRPr="00000000" w14:paraId="0000006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Proposta de publicação à revista do DETI, de um resumo alargado da Dissertação (2 páginas) escrito em língua inglesa. Modelo exemplificativo.</w:t>
      </w:r>
    </w:p>
    <w:p w:rsidR="00000000" w:rsidDel="00000000" w:rsidP="00000000" w:rsidRDefault="00000000" w:rsidRPr="00000000" w14:paraId="0000006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  <w:t xml:space="preserve">E os Documentos Finais relativos às provas são os seguintes documentos pdf:</w:t>
      </w:r>
    </w:p>
    <w:p w:rsidR="00000000" w:rsidDel="00000000" w:rsidP="00000000" w:rsidRDefault="00000000" w:rsidRPr="00000000" w14:paraId="0000006B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Declaração de Direitos de Autor devidamente preenchida pelo aluno;</w:t>
      </w:r>
    </w:p>
    <w:p w:rsidR="00000000" w:rsidDel="00000000" w:rsidP="00000000" w:rsidRDefault="00000000" w:rsidRPr="00000000" w14:paraId="0000006C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Versão final e integral da Dissertação, organizada e formatada segundo as normas aprovadas pelo Conselho Científico, em formato pdf não bloqueado com password. A versão final poderá incluir pequenas alterações sugeridas pelo Júri;</w:t>
      </w:r>
    </w:p>
    <w:p w:rsidR="00000000" w:rsidDel="00000000" w:rsidP="00000000" w:rsidRDefault="00000000" w:rsidRPr="00000000" w14:paraId="0000006D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Declaração da aceitação por parte do presidente do júri, das correções efetuadas (Minuta), se aplicável;</w:t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ind w:left="0"/>
        <w:rPr/>
      </w:pPr>
      <w:bookmarkStart w:colFirst="0" w:colLast="0" w:name="_zhqu8akd0kno" w:id="23"/>
      <w:bookmarkEnd w:id="2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ind w:left="0"/>
        <w:rPr/>
      </w:pPr>
      <w:bookmarkStart w:colFirst="0" w:colLast="0" w:name="_prdbuj28gz1g" w:id="24"/>
      <w:bookmarkEnd w:id="24"/>
      <w:r w:rsidDel="00000000" w:rsidR="00000000" w:rsidRPr="00000000">
        <w:rPr>
          <w:rtl w:val="0"/>
        </w:rPr>
        <w:t xml:space="preserve">Atividade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keepNext w:val="0"/>
        <w:keepLines w:val="0"/>
        <w:pBdr>
          <w:bottom w:color="auto" w:space="5" w:sz="0" w:val="none"/>
        </w:pBdr>
        <w:spacing w:after="240" w:before="360" w:lineRule="auto"/>
        <w:ind w:left="0"/>
        <w:rPr/>
      </w:pPr>
      <w:bookmarkStart w:colFirst="0" w:colLast="0" w:name="_hrem3nlgyf8w" w:id="25"/>
      <w:bookmarkEnd w:id="25"/>
      <w:r w:rsidDel="00000000" w:rsidR="00000000" w:rsidRPr="00000000">
        <w:rPr>
          <w:rtl w:val="0"/>
        </w:rPr>
        <w:t xml:space="preserve">1. Análise do Processo Tradicional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Etapas do processo tradicional:</w:t>
      </w:r>
    </w:p>
    <w:p w:rsidR="00000000" w:rsidDel="00000000" w:rsidP="00000000" w:rsidRDefault="00000000" w:rsidRPr="00000000" w14:paraId="00000074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Solicitação da leitura:</w:t>
        <w:br w:type="textWrapping"/>
        <w:t xml:space="preserve">O Comercializador solicita ao Distribuidor as leituras de consumo.</w:t>
      </w:r>
    </w:p>
    <w:p w:rsidR="00000000" w:rsidDel="00000000" w:rsidP="00000000" w:rsidRDefault="00000000" w:rsidRPr="00000000" w14:paraId="00000075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Deslocação e leitura:</w:t>
      </w:r>
    </w:p>
    <w:p w:rsidR="00000000" w:rsidDel="00000000" w:rsidP="00000000" w:rsidRDefault="00000000" w:rsidRPr="00000000" w14:paraId="00000076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Técnicos do Distribuidor deslocam-se até ao local para obter as leituras.</w:t>
      </w:r>
    </w:p>
    <w:p w:rsidR="00000000" w:rsidDel="00000000" w:rsidP="00000000" w:rsidRDefault="00000000" w:rsidRPr="00000000" w14:paraId="00000077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Quando não é possível a deslocação, o Cliente é contactado para comunicar a leitura.</w:t>
      </w:r>
    </w:p>
    <w:p w:rsidR="00000000" w:rsidDel="00000000" w:rsidP="00000000" w:rsidRDefault="00000000" w:rsidRPr="00000000" w14:paraId="00000078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Processamento dos dados:</w:t>
        <w:br w:type="textWrapping"/>
        <w:t xml:space="preserve">Na ausência de dados, o Comercializador recorre a estimativas de consumo.</w:t>
      </w:r>
    </w:p>
    <w:p w:rsidR="00000000" w:rsidDel="00000000" w:rsidP="00000000" w:rsidRDefault="00000000" w:rsidRPr="00000000" w14:paraId="00000079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Faturação:</w:t>
        <w:br w:type="textWrapping"/>
        <w:t xml:space="preserve">Após obter (ou estimar) os dados, é gerada a fatura e enviada ao cliente.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Estimativa de tempos (valores indicativos):</w:t>
      </w:r>
    </w:p>
    <w:tbl>
      <w:tblPr>
        <w:tblStyle w:val="Table1"/>
        <w:tblW w:w="6495.0" w:type="dxa"/>
        <w:jc w:val="left"/>
        <w:tblLayout w:type="fixed"/>
        <w:tblLook w:val="0600"/>
      </w:tblPr>
      <w:tblGrid>
        <w:gridCol w:w="2865"/>
        <w:gridCol w:w="1800"/>
        <w:gridCol w:w="1830"/>
        <w:tblGridChange w:id="0">
          <w:tblGrid>
            <w:gridCol w:w="2865"/>
            <w:gridCol w:w="1800"/>
            <w:gridCol w:w="1830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Etapa</w:t>
            </w:r>
          </w:p>
        </w:tc>
        <w:tc>
          <w:tcPr>
            <w:tcBorders>
              <w:bottom w:color="000000" w:space="0" w:sz="6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Tempo Mínimo</w:t>
            </w:r>
          </w:p>
        </w:tc>
        <w:tc>
          <w:tcPr>
            <w:tcBorders>
              <w:bottom w:color="000000" w:space="0" w:sz="6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Tempo Máximo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Solicitação da leitura</w:t>
            </w:r>
          </w:p>
        </w:tc>
        <w:tc>
          <w:tcPr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dia</w:t>
            </w:r>
          </w:p>
        </w:tc>
        <w:tc>
          <w:tcPr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 dias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6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Deslocação + leitura in loco</w:t>
            </w:r>
          </w:p>
        </w:tc>
        <w:tc>
          <w:tcPr>
            <w:tcBorders>
              <w:top w:color="000000" w:space="0" w:sz="6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1,5 dias</w:t>
            </w:r>
          </w:p>
        </w:tc>
        <w:tc>
          <w:tcPr>
            <w:tcBorders>
              <w:top w:color="000000" w:space="0" w:sz="6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 dias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6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Processamento dos dados</w:t>
            </w:r>
          </w:p>
        </w:tc>
        <w:tc>
          <w:tcPr>
            <w:tcBorders>
              <w:top w:color="000000" w:space="0" w:sz="6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 dias</w:t>
            </w:r>
          </w:p>
        </w:tc>
        <w:tc>
          <w:tcPr>
            <w:tcBorders>
              <w:top w:color="000000" w:space="0" w:sz="6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 dias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6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Geração e envio da fatura</w:t>
            </w:r>
          </w:p>
        </w:tc>
        <w:tc>
          <w:tcPr>
            <w:tcBorders>
              <w:top w:color="000000" w:space="0" w:sz="6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dia</w:t>
            </w:r>
          </w:p>
        </w:tc>
        <w:tc>
          <w:tcPr>
            <w:tcBorders>
              <w:top w:color="000000" w:space="0" w:sz="6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 dias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6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Total Aproximado</w:t>
            </w:r>
          </w:p>
        </w:tc>
        <w:tc>
          <w:tcPr>
            <w:tcBorders>
              <w:top w:color="000000" w:space="0" w:sz="6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5,5 dias</w:t>
            </w:r>
          </w:p>
        </w:tc>
        <w:tc>
          <w:tcPr>
            <w:tcBorders>
              <w:top w:color="000000" w:space="0" w:sz="6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 dias</w:t>
            </w:r>
          </w:p>
        </w:tc>
      </w:tr>
    </w:tbl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Observação: Em situações em que o cliente não comunica a leitura, o processo pode demorar ainda mais, recorrendo a estimativas.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3"/>
        <w:keepNext w:val="0"/>
        <w:keepLines w:val="0"/>
        <w:pBdr>
          <w:bottom w:color="auto" w:space="5" w:sz="0" w:val="none"/>
        </w:pBdr>
        <w:spacing w:after="240" w:before="360" w:lineRule="auto"/>
        <w:ind w:left="0"/>
        <w:rPr/>
      </w:pPr>
      <w:bookmarkStart w:colFirst="0" w:colLast="0" w:name="_ueajwjuzind4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3"/>
        <w:keepNext w:val="0"/>
        <w:keepLines w:val="0"/>
        <w:pBdr>
          <w:bottom w:color="auto" w:space="5" w:sz="0" w:val="none"/>
        </w:pBdr>
        <w:spacing w:after="240" w:before="360" w:lineRule="auto"/>
        <w:ind w:left="0"/>
        <w:rPr/>
      </w:pPr>
      <w:bookmarkStart w:colFirst="0" w:colLast="0" w:name="_xw4k4kxp1csc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3"/>
        <w:keepNext w:val="0"/>
        <w:keepLines w:val="0"/>
        <w:pBdr>
          <w:bottom w:color="auto" w:space="5" w:sz="0" w:val="none"/>
        </w:pBdr>
        <w:spacing w:after="240" w:before="360" w:lineRule="auto"/>
        <w:ind w:left="0"/>
        <w:rPr/>
      </w:pPr>
      <w:bookmarkStart w:colFirst="0" w:colLast="0" w:name="_my5g3bjii9h2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3"/>
        <w:keepNext w:val="0"/>
        <w:keepLines w:val="0"/>
        <w:pBdr>
          <w:bottom w:color="auto" w:space="5" w:sz="0" w:val="none"/>
        </w:pBdr>
        <w:spacing w:after="240" w:before="360" w:lineRule="auto"/>
        <w:ind w:left="0"/>
        <w:rPr/>
      </w:pPr>
      <w:bookmarkStart w:colFirst="0" w:colLast="0" w:name="_j5fd2a9jxpf8" w:id="29"/>
      <w:bookmarkEnd w:id="29"/>
      <w:r w:rsidDel="00000000" w:rsidR="00000000" w:rsidRPr="00000000">
        <w:rPr>
          <w:rtl w:val="0"/>
        </w:rPr>
        <w:t xml:space="preserve">2. Proposta de Reengenharia com Contadores Inteligentes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Vantagens e melhorias introduzidas:</w:t>
      </w:r>
    </w:p>
    <w:p w:rsidR="00000000" w:rsidDel="00000000" w:rsidP="00000000" w:rsidRDefault="00000000" w:rsidRPr="00000000" w14:paraId="00000096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Leitura Automática:</w:t>
        <w:br w:type="textWrapping"/>
        <w:t xml:space="preserve">Os contadores inteligentes realizam a leitura do consumo sem intervenção humana.</w:t>
      </w:r>
    </w:p>
    <w:p w:rsidR="00000000" w:rsidDel="00000000" w:rsidP="00000000" w:rsidRDefault="00000000" w:rsidRPr="00000000" w14:paraId="00000097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Transmissão em Tempo Real:</w:t>
        <w:br w:type="textWrapping"/>
        <w:t xml:space="preserve">Os dados são enviados automaticamente via rede, eliminando deslocações e atrasos.</w:t>
      </w:r>
    </w:p>
    <w:p w:rsidR="00000000" w:rsidDel="00000000" w:rsidP="00000000" w:rsidRDefault="00000000" w:rsidRPr="00000000" w14:paraId="00000098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Processamento Automatizado:</w:t>
        <w:br w:type="textWrapping"/>
        <w:t xml:space="preserve">A centralização e automação do processamento dos dados reduzem erros e agilizam a faturação.</w:t>
      </w:r>
    </w:p>
    <w:p w:rsidR="00000000" w:rsidDel="00000000" w:rsidP="00000000" w:rsidRDefault="00000000" w:rsidRPr="00000000" w14:paraId="00000099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Faturação Digital:</w:t>
        <w:br w:type="textWrapping"/>
        <w:t xml:space="preserve">A emissão e envio das faturas são feitos de forma automática (por e-mail ou através de plataforma online).</w:t>
      </w:r>
    </w:p>
    <w:p w:rsidR="00000000" w:rsidDel="00000000" w:rsidP="00000000" w:rsidRDefault="00000000" w:rsidRPr="00000000" w14:paraId="0000009A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Monitorização Contínua:</w:t>
        <w:br w:type="textWrapping"/>
        <w:t xml:space="preserve">Permite a deteção imediata de anomalias, fraudes ou variações inesperadas no consumo.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Novo fluxo proposto:</w:t>
      </w:r>
    </w:p>
    <w:p w:rsidR="00000000" w:rsidDel="00000000" w:rsidP="00000000" w:rsidRDefault="00000000" w:rsidRPr="00000000" w14:paraId="0000009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Instalação do contador inteligente:</w:t>
        <w:br w:type="textWrapping"/>
        <w:t xml:space="preserve">Já instalado previamente no local do cliente.</w:t>
      </w:r>
    </w:p>
    <w:p w:rsidR="00000000" w:rsidDel="00000000" w:rsidP="00000000" w:rsidRDefault="00000000" w:rsidRPr="00000000" w14:paraId="0000009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Leitura automática do consumo:</w:t>
        <w:br w:type="textWrapping"/>
        <w:t xml:space="preserve">O contador recolhe os dados de consumo continuamente e os envia periodicamente (por exemplo, diariamente ou em intervalos definidos).</w:t>
      </w:r>
    </w:p>
    <w:p w:rsidR="00000000" w:rsidDel="00000000" w:rsidP="00000000" w:rsidRDefault="00000000" w:rsidRPr="00000000" w14:paraId="0000009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Transmissão dos dados:</w:t>
        <w:br w:type="textWrapping"/>
        <w:t xml:space="preserve">Os dados são enviados automaticamente através da rede para o sistema central do Distribuidor.</w:t>
      </w:r>
    </w:p>
    <w:p w:rsidR="00000000" w:rsidDel="00000000" w:rsidP="00000000" w:rsidRDefault="00000000" w:rsidRPr="00000000" w14:paraId="000000A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Armazenamento e processamento dos dados:</w:t>
        <w:br w:type="textWrapping"/>
        <w:t xml:space="preserve">Os dados são armazenados e processados de forma centralizada, permitindo análises e verificações automáticas.</w:t>
      </w:r>
    </w:p>
    <w:p w:rsidR="00000000" w:rsidDel="00000000" w:rsidP="00000000" w:rsidRDefault="00000000" w:rsidRPr="00000000" w14:paraId="000000A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Envio dos dados para o Comercializador:</w:t>
        <w:br w:type="textWrapping"/>
        <w:t xml:space="preserve">Os dados processados são partilhados automaticamente com o Comercializador.</w:t>
      </w:r>
    </w:p>
    <w:p w:rsidR="00000000" w:rsidDel="00000000" w:rsidP="00000000" w:rsidRDefault="00000000" w:rsidRPr="00000000" w14:paraId="000000A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Geração automatizada da fatura:</w:t>
        <w:br w:type="textWrapping"/>
        <w:t xml:space="preserve">Com base nos dados precisos, o sistema gera a fatura de forma automática.</w:t>
      </w:r>
    </w:p>
    <w:p w:rsidR="00000000" w:rsidDel="00000000" w:rsidP="00000000" w:rsidRDefault="00000000" w:rsidRPr="00000000" w14:paraId="000000A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Envio digital da fatura ao cliente:</w:t>
        <w:br w:type="textWrapping"/>
        <w:t xml:space="preserve">A fatura é enviada eletronicamente, garantindo maior rapidez e segurança.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Estimativa de tempos para o novo processo:</w:t>
      </w:r>
    </w:p>
    <w:tbl>
      <w:tblPr>
        <w:tblStyle w:val="Table2"/>
        <w:tblW w:w="8715.0" w:type="dxa"/>
        <w:jc w:val="left"/>
        <w:tblLayout w:type="fixed"/>
        <w:tblLook w:val="0600"/>
      </w:tblPr>
      <w:tblGrid>
        <w:gridCol w:w="4485"/>
        <w:gridCol w:w="2400"/>
        <w:gridCol w:w="1830"/>
        <w:tblGridChange w:id="0">
          <w:tblGrid>
            <w:gridCol w:w="4485"/>
            <w:gridCol w:w="2400"/>
            <w:gridCol w:w="1830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Etapa</w:t>
            </w:r>
          </w:p>
        </w:tc>
        <w:tc>
          <w:tcPr>
            <w:tcBorders>
              <w:bottom w:color="000000" w:space="0" w:sz="6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Tempo Mínimo</w:t>
            </w:r>
          </w:p>
        </w:tc>
        <w:tc>
          <w:tcPr>
            <w:tcBorders>
              <w:bottom w:color="000000" w:space="0" w:sz="6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Tempo Máximo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Leitura e transmissão automática</w:t>
            </w:r>
          </w:p>
        </w:tc>
        <w:tc>
          <w:tcPr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Imediato (ou até 1 dia)</w:t>
            </w:r>
          </w:p>
        </w:tc>
        <w:tc>
          <w:tcPr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dia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6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Armazenamento e processamento dos dados</w:t>
            </w:r>
          </w:p>
        </w:tc>
        <w:tc>
          <w:tcPr>
            <w:tcBorders>
              <w:top w:color="000000" w:space="0" w:sz="6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0,5 dias</w:t>
            </w:r>
          </w:p>
        </w:tc>
        <w:tc>
          <w:tcPr>
            <w:tcBorders>
              <w:top w:color="000000" w:space="0" w:sz="6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dia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6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Geração e envio digital da fatura</w:t>
            </w:r>
          </w:p>
        </w:tc>
        <w:tc>
          <w:tcPr>
            <w:tcBorders>
              <w:top w:color="000000" w:space="0" w:sz="6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0,5 dias</w:t>
            </w:r>
          </w:p>
        </w:tc>
        <w:tc>
          <w:tcPr>
            <w:tcBorders>
              <w:top w:color="000000" w:space="0" w:sz="6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dia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6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Total Aproximado</w:t>
            </w:r>
          </w:p>
        </w:tc>
        <w:tc>
          <w:tcPr>
            <w:tcBorders>
              <w:top w:color="000000" w:space="0" w:sz="6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1,5 dias</w:t>
            </w:r>
          </w:p>
        </w:tc>
        <w:tc>
          <w:tcPr>
            <w:tcBorders>
              <w:top w:color="000000" w:space="0" w:sz="6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 dias</w:t>
            </w:r>
          </w:p>
        </w:tc>
      </w:tr>
    </w:tbl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Observação: O processo, por ser altamente automatizado, pode ser ainda mais rápido se implementado com sistemas de monitorização em tempo real.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3"/>
        <w:keepNext w:val="0"/>
        <w:keepLines w:val="0"/>
        <w:pBdr>
          <w:bottom w:color="auto" w:space="5" w:sz="0" w:val="none"/>
        </w:pBdr>
        <w:spacing w:after="240" w:before="360" w:lineRule="auto"/>
        <w:ind w:left="0"/>
        <w:rPr/>
      </w:pPr>
      <w:bookmarkStart w:colFirst="0" w:colLast="0" w:name="_6faahaqbny9w" w:id="30"/>
      <w:bookmarkEnd w:id="30"/>
      <w:r w:rsidDel="00000000" w:rsidR="00000000" w:rsidRPr="00000000">
        <w:rPr>
          <w:rtl w:val="0"/>
        </w:rPr>
        <w:t xml:space="preserve">3. Diagrama do Novo Fluxo</w:t>
      </w:r>
    </w:p>
    <w:p w:rsidR="00000000" w:rsidDel="00000000" w:rsidP="00000000" w:rsidRDefault="00000000" w:rsidRPr="00000000" w14:paraId="000000BB">
      <w:pPr>
        <w:spacing w:after="240" w:lineRule="auto"/>
        <w:rPr>
          <w:rFonts w:ascii="Arial" w:cs="Arial" w:eastAsia="Arial" w:hAnsi="Arial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-182780</wp:posOffset>
            </wp:positionH>
            <wp:positionV relativeFrom="paragraph">
              <wp:posOffset>198913</wp:posOffset>
            </wp:positionV>
            <wp:extent cx="6800660" cy="5402299"/>
            <wp:effectExtent b="0" l="0" r="0" t="0"/>
            <wp:wrapNone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660" cy="54022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C">
      <w:pPr>
        <w:pStyle w:val="Heading3"/>
        <w:keepNext w:val="0"/>
        <w:keepLines w:val="0"/>
        <w:pBdr>
          <w:bottom w:color="auto" w:space="5" w:sz="0" w:val="none"/>
        </w:pBdr>
        <w:spacing w:after="240" w:before="360" w:lineRule="auto"/>
        <w:ind w:left="0"/>
        <w:rPr/>
      </w:pPr>
      <w:bookmarkStart w:colFirst="0" w:colLast="0" w:name="_35424ak3wyec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3"/>
        <w:keepNext w:val="0"/>
        <w:keepLines w:val="0"/>
        <w:pBdr>
          <w:bottom w:color="auto" w:space="5" w:sz="0" w:val="none"/>
        </w:pBdr>
        <w:spacing w:after="240" w:before="360" w:lineRule="auto"/>
        <w:ind w:left="0"/>
        <w:rPr/>
      </w:pPr>
      <w:bookmarkStart w:colFirst="0" w:colLast="0" w:name="_5d4blgdcmkjb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3"/>
        <w:keepNext w:val="0"/>
        <w:keepLines w:val="0"/>
        <w:pBdr>
          <w:bottom w:color="auto" w:space="5" w:sz="0" w:val="none"/>
        </w:pBdr>
        <w:spacing w:after="240" w:before="360" w:lineRule="auto"/>
        <w:ind w:left="0"/>
        <w:rPr/>
      </w:pPr>
      <w:bookmarkStart w:colFirst="0" w:colLast="0" w:name="_wmbfztnoulu0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3"/>
        <w:keepNext w:val="0"/>
        <w:keepLines w:val="0"/>
        <w:pBdr>
          <w:bottom w:color="auto" w:space="5" w:sz="0" w:val="none"/>
        </w:pBdr>
        <w:spacing w:after="240" w:before="360" w:lineRule="auto"/>
        <w:ind w:left="0"/>
        <w:rPr/>
      </w:pPr>
      <w:bookmarkStart w:colFirst="0" w:colLast="0" w:name="_bntiwxsllmdh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3"/>
        <w:keepNext w:val="0"/>
        <w:keepLines w:val="0"/>
        <w:pBdr>
          <w:bottom w:color="auto" w:space="5" w:sz="0" w:val="none"/>
        </w:pBdr>
        <w:spacing w:after="240" w:before="360" w:lineRule="auto"/>
        <w:ind w:left="0"/>
        <w:rPr/>
      </w:pPr>
      <w:bookmarkStart w:colFirst="0" w:colLast="0" w:name="_9xtvih1n6yms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3"/>
        <w:keepNext w:val="0"/>
        <w:keepLines w:val="0"/>
        <w:pBdr>
          <w:bottom w:color="auto" w:space="5" w:sz="0" w:val="none"/>
        </w:pBdr>
        <w:spacing w:after="240" w:before="360" w:lineRule="auto"/>
        <w:ind w:left="0"/>
        <w:rPr/>
      </w:pPr>
      <w:bookmarkStart w:colFirst="0" w:colLast="0" w:name="_27y79k1k3quv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3"/>
        <w:keepNext w:val="0"/>
        <w:keepLines w:val="0"/>
        <w:pBdr>
          <w:bottom w:color="auto" w:space="5" w:sz="0" w:val="none"/>
        </w:pBdr>
        <w:spacing w:after="240" w:before="360" w:lineRule="auto"/>
        <w:ind w:left="0"/>
        <w:rPr/>
      </w:pPr>
      <w:bookmarkStart w:colFirst="0" w:colLast="0" w:name="_spe08xjfdojw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3"/>
        <w:keepNext w:val="0"/>
        <w:keepLines w:val="0"/>
        <w:pBdr>
          <w:bottom w:color="auto" w:space="5" w:sz="0" w:val="none"/>
        </w:pBdr>
        <w:spacing w:after="240" w:before="360" w:lineRule="auto"/>
        <w:ind w:left="0"/>
        <w:rPr/>
      </w:pPr>
      <w:bookmarkStart w:colFirst="0" w:colLast="0" w:name="_9rog7ksahhyn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3"/>
        <w:keepNext w:val="0"/>
        <w:keepLines w:val="0"/>
        <w:pBdr>
          <w:bottom w:color="auto" w:space="5" w:sz="0" w:val="none"/>
        </w:pBdr>
        <w:spacing w:after="240" w:before="360" w:lineRule="auto"/>
        <w:ind w:left="0"/>
        <w:rPr/>
      </w:pPr>
      <w:bookmarkStart w:colFirst="0" w:colLast="0" w:name="_l6nw5frz6qk5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3"/>
        <w:keepNext w:val="0"/>
        <w:keepLines w:val="0"/>
        <w:pBdr>
          <w:bottom w:color="auto" w:space="5" w:sz="0" w:val="none"/>
        </w:pBdr>
        <w:spacing w:after="240" w:before="360" w:lineRule="auto"/>
        <w:ind w:left="0"/>
        <w:rPr/>
      </w:pPr>
      <w:bookmarkStart w:colFirst="0" w:colLast="0" w:name="_t2pi1g6xixhm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3"/>
        <w:keepNext w:val="0"/>
        <w:keepLines w:val="0"/>
        <w:pBdr>
          <w:bottom w:color="auto" w:space="5" w:sz="0" w:val="none"/>
        </w:pBdr>
        <w:spacing w:after="240" w:before="360" w:lineRule="auto"/>
        <w:ind w:left="0"/>
        <w:rPr/>
      </w:pPr>
      <w:bookmarkStart w:colFirst="0" w:colLast="0" w:name="_z31clkz585fh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3"/>
        <w:keepNext w:val="0"/>
        <w:keepLines w:val="0"/>
        <w:pBdr>
          <w:bottom w:color="auto" w:space="5" w:sz="0" w:val="none"/>
        </w:pBdr>
        <w:spacing w:after="240" w:before="360" w:lineRule="auto"/>
        <w:ind w:left="0"/>
        <w:rPr/>
      </w:pPr>
      <w:bookmarkStart w:colFirst="0" w:colLast="0" w:name="_z140rat2iiyj" w:id="42"/>
      <w:bookmarkEnd w:id="42"/>
      <w:r w:rsidDel="00000000" w:rsidR="00000000" w:rsidRPr="00000000">
        <w:rPr>
          <w:rtl w:val="0"/>
        </w:rPr>
        <w:t xml:space="preserve">4. Comentário dos Resultados</w:t>
      </w:r>
    </w:p>
    <w:p w:rsidR="00000000" w:rsidDel="00000000" w:rsidP="00000000" w:rsidRDefault="00000000" w:rsidRPr="00000000" w14:paraId="000000C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Redução de Tempo</w:t>
      </w:r>
    </w:p>
    <w:p w:rsidR="00000000" w:rsidDel="00000000" w:rsidP="00000000" w:rsidRDefault="00000000" w:rsidRPr="00000000" w14:paraId="000000C9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Processo Tradicional: Entre 5,5 a 12 dias para completar o ciclo</w:t>
      </w:r>
    </w:p>
    <w:p w:rsidR="00000000" w:rsidDel="00000000" w:rsidP="00000000" w:rsidRDefault="00000000" w:rsidRPr="00000000" w14:paraId="000000C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Novo Processo: Aproximadamente entre 1,5 a 3 dias.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A redução significativa no tempo deve-se à eliminação das deslocações, automatização da leitura e emissão digital da fatura.</w:t>
      </w:r>
    </w:p>
    <w:p w:rsidR="00000000" w:rsidDel="00000000" w:rsidP="00000000" w:rsidRDefault="00000000" w:rsidRPr="00000000" w14:paraId="000000CD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Redução de Erros e Custos:</w:t>
      </w:r>
    </w:p>
    <w:p w:rsidR="00000000" w:rsidDel="00000000" w:rsidP="00000000" w:rsidRDefault="00000000" w:rsidRPr="00000000" w14:paraId="000000CE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Menor intervenção manual reduz a possibilidade de erros humanos.</w:t>
      </w:r>
    </w:p>
    <w:p w:rsidR="00000000" w:rsidDel="00000000" w:rsidP="00000000" w:rsidRDefault="00000000" w:rsidRPr="00000000" w14:paraId="000000CF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Redução dos custos operacionais associados com deslocações e processamento manual.</w:t>
      </w:r>
    </w:p>
    <w:p w:rsidR="00000000" w:rsidDel="00000000" w:rsidP="00000000" w:rsidRDefault="00000000" w:rsidRPr="00000000" w14:paraId="000000D0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Melhoria na Qualidade do Serviço:</w:t>
      </w:r>
    </w:p>
    <w:p w:rsidR="00000000" w:rsidDel="00000000" w:rsidP="00000000" w:rsidRDefault="00000000" w:rsidRPr="00000000" w14:paraId="000000D1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Dados mais precisos e faturas emitidas atempadamente beneficiam os clientes.</w:t>
      </w:r>
    </w:p>
    <w:p w:rsidR="00000000" w:rsidDel="00000000" w:rsidP="00000000" w:rsidRDefault="00000000" w:rsidRPr="00000000" w14:paraId="000000D2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A monitorização contínua permite uma resposta rápida a eventuais anomalias no consumo.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footerReference r:id="rId18" w:type="first"/>
      <w:pgSz w:h="16838" w:w="11906" w:orient="portrait"/>
      <w:pgMar w:bottom="863.9999999999999" w:top="1440" w:left="907.2" w:right="863.999999999999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Lexend SemiBold">
    <w:embedRegular w:fontKey="{00000000-0000-0000-0000-000000000000}" r:id="rId1" w:subsetted="0"/>
    <w:embedBold w:fontKey="{00000000-0000-0000-0000-000000000000}" r:id="rId2" w:subsetted="0"/>
  </w:font>
  <w:font w:name="Inter Light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Inter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Lexend ExtraLight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5">
    <w:pPr>
      <w:rPr>
        <w:rFonts w:ascii="Lexend ExtraLight" w:cs="Lexend ExtraLight" w:eastAsia="Lexend ExtraLight" w:hAnsi="Lexend ExtraLight"/>
        <w:sz w:val="22"/>
        <w:szCs w:val="22"/>
      </w:rPr>
    </w:pPr>
    <w:r w:rsidDel="00000000" w:rsidR="00000000" w:rsidRPr="00000000">
      <w:rPr>
        <w:rFonts w:ascii="Lexend ExtraLight" w:cs="Lexend ExtraLight" w:eastAsia="Lexend ExtraLight" w:hAnsi="Lexend ExtraLight"/>
        <w:sz w:val="22"/>
        <w:szCs w:val="22"/>
        <w:rtl w:val="0"/>
      </w:rPr>
      <w:t xml:space="preserve">UNIVERSIDADE DE AVEIRO | 41951 Análise de Sistemas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color w:val="cccccc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color w:val="cccccc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color w:val="cccccc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color w:val="cccccc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color w:val="cccccc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color w:val="cccccc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color w:val="cccccc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color w:val="cccccc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 Light" w:cs="Inter Light" w:eastAsia="Inter Light" w:hAnsi="Inter Light"/>
        <w:sz w:val="24"/>
        <w:szCs w:val="24"/>
        <w:lang w:val="en"/>
      </w:rPr>
    </w:rPrDefault>
    <w:pPrDefault>
      <w:pPr>
        <w:spacing w:line="300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rFonts w:ascii="Lexend SemiBold" w:cs="Lexend SemiBold" w:eastAsia="Lexend SemiBold" w:hAnsi="Lexend SemiBold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480" w:lineRule="auto"/>
      <w:ind w:left="450"/>
    </w:pPr>
    <w:rPr>
      <w:rFonts w:ascii="Lexend SemiBold" w:cs="Lexend SemiBold" w:eastAsia="Lexend SemiBold" w:hAnsi="Lexend SemiBold"/>
      <w:color w:val="66666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Rule="auto"/>
      <w:ind w:left="1800"/>
    </w:pPr>
    <w:rPr>
      <w:rFonts w:ascii="Lexend SemiBold" w:cs="Lexend SemiBold" w:eastAsia="Lexend SemiBold" w:hAnsi="Lexend SemiBold"/>
      <w:color w:val="666666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ind w:left="720" w:hanging="360"/>
    </w:pPr>
    <w:rPr>
      <w:i w:val="1"/>
      <w:color w:val="666666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color w:val="666666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i w:val="1"/>
      <w:color w:val="666666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rFonts w:ascii="Lexend SemiBold" w:cs="Lexend SemiBold" w:eastAsia="Lexend SemiBold" w:hAnsi="Lexend SemiBold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9.png"/><Relationship Id="rId13" Type="http://schemas.openxmlformats.org/officeDocument/2006/relationships/image" Target="media/image10.jp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6.png"/><Relationship Id="rId14" Type="http://schemas.openxmlformats.org/officeDocument/2006/relationships/image" Target="media/image4.png"/><Relationship Id="rId17" Type="http://schemas.openxmlformats.org/officeDocument/2006/relationships/header" Target="head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18" Type="http://schemas.openxmlformats.org/officeDocument/2006/relationships/footer" Target="footer1.xml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SemiBold-regular.ttf"/><Relationship Id="rId2" Type="http://schemas.openxmlformats.org/officeDocument/2006/relationships/font" Target="fonts/LexendSemiBold-bold.ttf"/><Relationship Id="rId3" Type="http://schemas.openxmlformats.org/officeDocument/2006/relationships/font" Target="fonts/InterLight-regular.ttf"/><Relationship Id="rId4" Type="http://schemas.openxmlformats.org/officeDocument/2006/relationships/font" Target="fonts/InterLight-bold.ttf"/><Relationship Id="rId11" Type="http://schemas.openxmlformats.org/officeDocument/2006/relationships/font" Target="fonts/LexendExtraLight-regular.ttf"/><Relationship Id="rId10" Type="http://schemas.openxmlformats.org/officeDocument/2006/relationships/font" Target="fonts/Inter-boldItalic.ttf"/><Relationship Id="rId12" Type="http://schemas.openxmlformats.org/officeDocument/2006/relationships/font" Target="fonts/LexendExtraLight-bold.ttf"/><Relationship Id="rId9" Type="http://schemas.openxmlformats.org/officeDocument/2006/relationships/font" Target="fonts/Inter-italic.ttf"/><Relationship Id="rId5" Type="http://schemas.openxmlformats.org/officeDocument/2006/relationships/font" Target="fonts/InterLight-italic.ttf"/><Relationship Id="rId6" Type="http://schemas.openxmlformats.org/officeDocument/2006/relationships/font" Target="fonts/InterLight-boldItalic.ttf"/><Relationship Id="rId7" Type="http://schemas.openxmlformats.org/officeDocument/2006/relationships/font" Target="fonts/Inter-regular.ttf"/><Relationship Id="rId8" Type="http://schemas.openxmlformats.org/officeDocument/2006/relationships/font" Target="fonts/Inter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