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j3uynrffjsrd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Paulo Lacerda (120202), João Leite (119859), Ellen Sales (117450), Rui Albuquerque (110509)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Grupo 2, v</w:t>
      </w:r>
      <w:r w:rsidDel="00000000" w:rsidR="00000000" w:rsidRPr="00000000">
        <w:rPr>
          <w:rtl w:val="0"/>
        </w:rPr>
        <w:t xml:space="preserve">Mar 3,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Relatório do Lab 4</w:t>
      </w:r>
    </w:p>
    <w:sdt>
      <w:sdtPr>
        <w:id w:val="-86661389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nf2dfutrlpm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3g0uzqz2jjf6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Distribuição do trabalho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x3k8jx13h2c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Referências e materiais consultados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d7avh5axs3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r392zx2gb3m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g3cgcdeqw3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/>
          </w:pPr>
          <w:hyperlink w:anchor="_lyo3mh3lcdp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rPr>
              <w:rFonts w:ascii="Arial" w:cs="Arial" w:eastAsia="Arial" w:hAnsi="Arial"/>
              <w:color w:val="1155cc"/>
              <w:sz w:val="22"/>
              <w:szCs w:val="22"/>
              <w:u w:val="single"/>
            </w:rPr>
          </w:pPr>
          <w:hyperlink w:anchor="_b9ejqtd3s1rh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Atividade 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nf2dfutrlpm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F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3g0uzqz2jjf6" w:id="3"/>
      <w:bookmarkEnd w:id="3"/>
      <w:r w:rsidDel="00000000" w:rsidR="00000000" w:rsidRPr="00000000">
        <w:rPr>
          <w:rtl w:val="0"/>
        </w:rPr>
        <w:t xml:space="preserve">Distribuição do trabalho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 coordenação deste lab, no nosso grupo, foi assegurada </w:t>
      </w:r>
      <w:r w:rsidDel="00000000" w:rsidR="00000000" w:rsidRPr="00000000">
        <w:rPr>
          <w:rtl w:val="0"/>
        </w:rPr>
        <w:t xml:space="preserve">por </w:t>
      </w:r>
      <w:r w:rsidDel="00000000" w:rsidR="00000000" w:rsidRPr="00000000">
        <w:rPr>
          <w:rtl w:val="0"/>
        </w:rPr>
        <w:t xml:space="preserve">Paulo Lacerda.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 trabalho resultou das seguintes contribuições: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color w:val="008000"/>
          <w:rtl w:val="0"/>
        </w:rPr>
        <w:tab/>
      </w:r>
      <w:r w:rsidDel="00000000" w:rsidR="00000000" w:rsidRPr="00000000">
        <w:rPr>
          <w:rtl w:val="0"/>
        </w:rPr>
        <w:t xml:space="preserve">Paulo Lacerda  - Atividade 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João Leite - Atividade 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Ellen - Atividade 3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Rui - Atividade 4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x3k8jx13h2cd" w:id="4"/>
      <w:bookmarkEnd w:id="4"/>
      <w:r w:rsidDel="00000000" w:rsidR="00000000" w:rsidRPr="00000000">
        <w:rPr>
          <w:rtl w:val="0"/>
        </w:rPr>
        <w:t xml:space="preserve">Referências e materiais consultados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Enunciado disponibilizado no Drive da unidade curricular.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tpf0l1ol0cm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isommslop3f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d7avh5axs3a" w:id="7"/>
      <w:bookmarkEnd w:id="7"/>
      <w:r w:rsidDel="00000000" w:rsidR="00000000" w:rsidRPr="00000000">
        <w:rPr>
          <w:rtl w:val="0"/>
        </w:rPr>
        <w:t xml:space="preserve">Atividades</w:t>
      </w:r>
    </w:p>
    <w:p w:rsidR="00000000" w:rsidDel="00000000" w:rsidP="00000000" w:rsidRDefault="00000000" w:rsidRPr="00000000" w14:paraId="0000001E">
      <w:pPr>
        <w:pStyle w:val="Heading2"/>
        <w:ind w:left="0"/>
        <w:rPr>
          <w:color w:val="008000"/>
        </w:rPr>
      </w:pPr>
      <w:bookmarkStart w:colFirst="0" w:colLast="0" w:name="_r392zx2gb3mg" w:id="8"/>
      <w:bookmarkEnd w:id="8"/>
      <w:r w:rsidDel="00000000" w:rsidR="00000000" w:rsidRPr="00000000">
        <w:rPr>
          <w:rtl w:val="0"/>
        </w:rPr>
        <w:t xml:space="preserve">Atividade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15"/>
        <w:gridCol w:w="1425"/>
        <w:tblGridChange w:id="0">
          <w:tblGrid>
            <w:gridCol w:w="9015"/>
            <w:gridCol w:w="1425"/>
          </w:tblGrid>
        </w:tblGridChange>
      </w:tblGrid>
      <w:tr>
        <w:trPr>
          <w:cantSplit w:val="0"/>
          <w:trHeight w:val="750" w:hRule="atLeast"/>
          <w:tblHeader w:val="0"/>
        </w:trPr>
        <w:tc>
          <w:tcPr>
            <w:tcBorders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a)      O modelo para redigir as narrativas estruturadas dos CaU faz parte da norma UML.</w:t>
            </w:r>
          </w:p>
        </w:tc>
        <w:tc>
          <w:tcPr>
            <w:tcBorders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F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b)      As secções “Fluxo base” e “Fluxos alternativos” são as partes mais importantes numa descrição de um caso de utilização.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V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c)       A descrição deve identificar o evento e ator que ativam o caso de utilização.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V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d)      O diagrama de casos de utilização é mais importante que as narrativas/histórias a descrição passo-a-passo dos cenários.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F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e)      Alguns casos de utilização não precisam de ser suplementados com uma descrição textual.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V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f)        Colocar as perguntas “O que acontece? E depois, o que acontece de seguida?” e ainda “O que mais pode acontecer, em alternativa?” pode ajudar o Analista a guiar-se na preparação da descrição do caso de utilização.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V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g)      O uso da voz ativa é preferível ao da voz passiva (“O docente pesquisa o aluno por código” vs “A pesquisa é iniciada pelo docente usando o código do aluno”)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V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h)      As descrições dos casos de utilização captam os requisitos funcionais do sistema.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V</w:t>
            </w:r>
          </w:p>
        </w:tc>
      </w:tr>
    </w:tbl>
    <w:p w:rsidR="00000000" w:rsidDel="00000000" w:rsidP="00000000" w:rsidRDefault="00000000" w:rsidRPr="00000000" w14:paraId="00000031">
      <w:pPr>
        <w:rPr>
          <w:color w:val="008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ind w:left="0"/>
        <w:rPr/>
      </w:pPr>
      <w:bookmarkStart w:colFirst="0" w:colLast="0" w:name="_g3cgcdeqw33" w:id="9"/>
      <w:bookmarkEnd w:id="9"/>
      <w:r w:rsidDel="00000000" w:rsidR="00000000" w:rsidRPr="00000000">
        <w:rPr>
          <w:rtl w:val="0"/>
        </w:rPr>
        <w:t xml:space="preserve">Atividade 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60" w:before="60" w:line="240" w:lineRule="auto"/>
        <w:rPr>
          <w:rFonts w:ascii="Open Sans" w:cs="Open Sans" w:eastAsia="Open Sans" w:hAnsi="Open San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Layout w:type="fixed"/>
        <w:tblLook w:val="0600"/>
      </w:tblPr>
      <w:tblGrid>
        <w:gridCol w:w="1680"/>
        <w:gridCol w:w="7695"/>
        <w:tblGridChange w:id="0">
          <w:tblGrid>
            <w:gridCol w:w="1680"/>
            <w:gridCol w:w="76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Realizar um Pedido de Comida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Editado por: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João Leite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widowControl w:val="0"/>
              <w:spacing w:after="60" w:before="60"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Breve descrição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realiza um pedido de comida através da aplicação, escolhendo os restaurantes disponíveis, selecionando itens do menu e confirmando a encomenda com um método de pagamento válido. O sistema notifica o restaurante e o entregador para processar a entrega ao cliente.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Pré-condições: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tem uma conta ativa na plataforma.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tem um método de pagamento válido cadastrado.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Restaurantes parceiros estão disponíveis para atendimento.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pedido é enviado para o restaurante e registrado no sistema.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recebe a confirmação do pedido e um prazo estimado de entrega.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entregador recebe os detalhes do pedido e do local de entrega.</w:t>
            </w:r>
          </w:p>
        </w:tc>
      </w:tr>
      <w:tr>
        <w:trPr>
          <w:cantSplit w:val="0"/>
          <w:trHeight w:val="3190.99609375000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Fluxo base: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acessa a aplicação e faz login.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sistema apresenta a lista de restaurantes disponíveis com base na localização.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seleciona um restaurante e visualiza o menu.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adiciona itens ao carrinho e revisa o pedido.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escolhe a forma de pagamento e confirma a encomenda.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sistema processa o pagamento e notifica o restaurante.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restaurante aceita o pedido e inicia o preparo.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sistema atribui um entregador e envia detalhes do pedido.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entregador recolhe o pedido e realiza a entrega.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recebe o pedido e confirma a entrega no aplicativo.</w:t>
            </w:r>
          </w:p>
        </w:tc>
      </w:tr>
      <w:tr>
        <w:trPr>
          <w:cantSplit w:val="0"/>
          <w:trHeight w:val="3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Fluxos alternativos: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FA1: Cliente deseja agendar a entrega para um horário específico</w:t>
            </w:r>
          </w:p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No passo 5, o cliente seleciona a opção de agendamento de entrega e define um horário disponível.</w:t>
            </w:r>
          </w:p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sistema valida a disponibilidade do restaurante para agendamento.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pedido é registrado e processado conforme o horário solicitado.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FA2: Falha no pagamento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No passo 6, se o pagamento não for aprovado, o sistema exibe uma mensagem de erro e solicita um novo método de pagamento.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pode tentar outro meio de pagamento ou cancelar o pedido.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sz w:val="20"/>
                <w:szCs w:val="20"/>
                <w:rtl w:val="0"/>
              </w:rPr>
              <w:t xml:space="preserve">FA3: Restaurante recusa o pedido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No passo 7, se o restaurante não puder atender ao pedido, o sistema notifica o cliente e oferece opções de reembolso ou alteração do pedido.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Exceções: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Se o sistema estiver indisponível, o cliente recebe uma mensagem de erro informando a indisponibilidade temporária do serviço.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Requisitos especiais: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[Usabilidade] A interface deve permitir fácil navegação e personalização do pedido.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[Segurança] As transações financeiras devem ser protegidas por criptografia e autenticação de dois fatores.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[Desempenho] O tempo de resposta do sistema para processar um pedido deve ser inferior a 2 segundos.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Aspetos em aberto: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O cliente poderá entrar em contato com o restaurante ou entregador dentro da aplicação?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Métodos adicionais de pagamento, como criptomoedas, serão suportados?</w:t>
            </w:r>
          </w:p>
        </w:tc>
      </w:tr>
    </w:tbl>
    <w:p w:rsidR="00000000" w:rsidDel="00000000" w:rsidP="00000000" w:rsidRDefault="00000000" w:rsidRPr="00000000" w14:paraId="00000061">
      <w:pPr>
        <w:widowControl w:val="0"/>
        <w:spacing w:after="60" w:before="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left="0"/>
        <w:rPr/>
      </w:pPr>
      <w:bookmarkStart w:colFirst="0" w:colLast="0" w:name="_lyo3mh3lcdpl" w:id="10"/>
      <w:bookmarkEnd w:id="10"/>
      <w:r w:rsidDel="00000000" w:rsidR="00000000" w:rsidRPr="00000000">
        <w:rPr>
          <w:rtl w:val="0"/>
        </w:rPr>
        <w:t xml:space="preserve">Atividade 3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20"/>
        <w:gridCol w:w="2190"/>
        <w:tblGridChange w:id="0">
          <w:tblGrid>
            <w:gridCol w:w="7920"/>
            <w:gridCol w:w="21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Assunto/informação/factos</w:t>
            </w:r>
          </w:p>
        </w:tc>
        <w:tc>
          <w:tcPr/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Tipo de informação mais relevante?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 Portal e-Fatura inclui serviços para os contribuintes Adquirentes e para as entidades Emitentes.</w:t>
            </w:r>
          </w:p>
        </w:tc>
        <w:tc>
          <w:tcPr/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Atores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“As despesas com ginásios podem agora ser deduzidas à taxa de 15%”.</w:t>
            </w:r>
          </w:p>
        </w:tc>
        <w:tc>
          <w:tcPr/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Regras de negócio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Os emitentes que são profissionais liberais, ao completar a informação das faturas, podem indicar se a despesa se aplica no âmbito profissional ou pessoal.</w:t>
            </w:r>
          </w:p>
        </w:tc>
        <w:tc>
          <w:tcPr/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Todas as listas (e formatos em grelha) com a apresentação dos dados das pesquisas ou seleção do utilizador devem ser paginadas, exibindo as respectivas acções de navegação no final da lista.</w:t>
            </w:r>
          </w:p>
        </w:tc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Requisito não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Quando as faturas não foram comunicadas por via eletrónica, o Emitente pode inserir manualmente, procedendo ao registo da fatura com todos os seus elementos.</w:t>
            </w:r>
          </w:p>
        </w:tc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“O elevado número de acessos ao e-Fatura do portal das Finanças, que se registou ao longo do dia de ontem e que se continua a verificar durante o dia de hoje, em virtude do fim do prazo legal para a verificação e validação de faturas, provocou constrangimentos e limitações pontuais de acesso”, reconheceu a tutela.</w:t>
            </w:r>
          </w:p>
        </w:tc>
        <w:tc>
          <w:tcPr/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“Desde segunda-feira que o acesso ao portal e-Fatura tem tido constrangimentos, impedindo os contribuintes de registarem as despesas e, desse modo, conseguirem um reembolso maior ou um alívio no imposto a pagar. “</w:t>
            </w:r>
          </w:p>
        </w:tc>
        <w:tc>
          <w:tcPr/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Ao aceder à opção de completar a infromação, o contribuinte encontra a informação do número total de faturas que estão pendentes, bem como o número total de faturas com despesas de saúde com inconsistências, podendo navegar de imediato para cada caso.</w:t>
            </w:r>
          </w:p>
        </w:tc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É possível pesquisar as faturas por número fiscal do emitente, intervalo de datas, situação e tipo de atividade.</w:t>
              <w:tab/>
            </w:r>
          </w:p>
        </w:tc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Requisito funcional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“Se encontrar uma fatura classificada no setor errado, não se preocupe, basta selecioná-la e clicar em alterar, para associá-la à categoria certa.”</w:t>
            </w:r>
          </w:p>
        </w:tc>
        <w:tc>
          <w:tcPr/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Caso de utilização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-&gt; "Quando as faturas não foram comunicadas por via eletrónica, o Emitente pode inserir manualmente, procedendo ao registo da fatura com todos os seus elementos."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Descrição:</w:t>
        <w:br w:type="textWrapping"/>
      </w:r>
      <w:r w:rsidDel="00000000" w:rsidR="00000000" w:rsidRPr="00000000">
        <w:rPr>
          <w:rtl w:val="0"/>
        </w:rPr>
        <w:t xml:space="preserve">O sistema deve permitir que os Emitentes insiram faturas manualmente quando estas não forem comunicadas por via eletrónica, garantindo o registo correto de todos os elementos obrigatórios.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Critérios SMART: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Específico</w:t>
      </w:r>
      <w:r w:rsidDel="00000000" w:rsidR="00000000" w:rsidRPr="00000000">
        <w:rPr>
          <w:rtl w:val="0"/>
        </w:rPr>
        <w:t xml:space="preserve"> – Define claramente a funcionalidade esperada.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Mensurável</w:t>
      </w:r>
      <w:r w:rsidDel="00000000" w:rsidR="00000000" w:rsidRPr="00000000">
        <w:rPr>
          <w:rtl w:val="0"/>
        </w:rPr>
        <w:t xml:space="preserve"> – Pode ser testado verificando se o utilizador consegue registar uma fatura manualmente.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Atingível</w:t>
      </w:r>
      <w:r w:rsidDel="00000000" w:rsidR="00000000" w:rsidRPr="00000000">
        <w:rPr>
          <w:rtl w:val="0"/>
        </w:rPr>
        <w:t xml:space="preserve"> – Implementável com base nos dados existentes.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Relevante</w:t>
      </w:r>
      <w:r w:rsidDel="00000000" w:rsidR="00000000" w:rsidRPr="00000000">
        <w:rPr>
          <w:rtl w:val="0"/>
        </w:rPr>
        <w:t xml:space="preserve"> – Essencial para garantir que todas as faturas são corretamente reportadas.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Temporal</w:t>
      </w:r>
      <w:r w:rsidDel="00000000" w:rsidR="00000000" w:rsidRPr="00000000">
        <w:rPr>
          <w:rtl w:val="0"/>
        </w:rPr>
        <w:t xml:space="preserve"> – Deve estar disponível continuamente para os utilizadores autorizados.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Critérios de Aceitação: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Emitente deve poder inserir uma nova fatura manualmente através da interface do portal.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sistema deve validar e exigir os seguintes campos obrigatórios:</w:t>
      </w:r>
    </w:p>
    <w:p w:rsidR="00000000" w:rsidDel="00000000" w:rsidP="00000000" w:rsidRDefault="00000000" w:rsidRPr="00000000" w14:paraId="0000008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Número da fatura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de emissão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Número fiscal do emitente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Número fiscal do adquirente (se aplicável)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Valor total da fatura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Categoria da despesa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Caso algum campo obrigatório não seja preenchido, o sistema deve exibir uma mensagem de erro clara.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Após o registo bem-sucedido, a fatura deve ser armazenada na base de dados e aparecer na listagem do Emitente.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tempo de processamento para o registo da fatura não deve ultrapassar 2 segundos.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Dependências: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 sistema deve validar o número fiscal do emitente e adquirente com base nas regras da Autoridade Tributária.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utilizador deve estar autenticado como Emitente para realizar o registo manual.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ind w:left="0"/>
        <w:rPr/>
      </w:pPr>
      <w:bookmarkStart w:colFirst="0" w:colLast="0" w:name="_b9ejqtd3s1rh" w:id="11"/>
      <w:bookmarkEnd w:id="11"/>
      <w:r w:rsidDel="00000000" w:rsidR="00000000" w:rsidRPr="00000000">
        <w:rPr>
          <w:rtl w:val="0"/>
        </w:rPr>
        <w:t xml:space="preserve">Atividade 4</w:t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gsge4f4lwnv7" w:id="12"/>
      <w:bookmarkEnd w:id="12"/>
      <w:r w:rsidDel="00000000" w:rsidR="00000000" w:rsidRPr="00000000">
        <w:rPr>
          <w:rtl w:val="0"/>
        </w:rPr>
        <w:t xml:space="preserve">Diagrama 1</w:t>
      </w:r>
    </w:p>
    <w:p w:rsidR="00000000" w:rsidDel="00000000" w:rsidP="00000000" w:rsidRDefault="00000000" w:rsidRPr="00000000" w14:paraId="00000099">
      <w:pPr>
        <w:pStyle w:val="Heading4"/>
        <w:keepNext w:val="0"/>
        <w:keepLines w:val="0"/>
        <w:spacing w:after="80" w:before="280" w:lineRule="auto"/>
        <w:ind w:left="0"/>
        <w:rPr/>
      </w:pPr>
      <w:bookmarkStart w:colFirst="0" w:colLast="0" w:name="_up738wsjdv3k" w:id="13"/>
      <w:bookmarkEnd w:id="13"/>
      <w:r w:rsidDel="00000000" w:rsidR="00000000" w:rsidRPr="00000000">
        <w:rPr>
          <w:rtl w:val="0"/>
        </w:rPr>
        <w:t xml:space="preserve">Casos de uso relativos à aplicação ViaVerde estacionar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Ator Principal:</w:t>
      </w:r>
    </w:p>
    <w:p w:rsidR="00000000" w:rsidDel="00000000" w:rsidP="00000000" w:rsidRDefault="00000000" w:rsidRPr="00000000" w14:paraId="0000009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Condutor Cliente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Casos de Uso (principais e extensões):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Subscrever serviços ViaVerde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Aceder definições da aplicação</w:t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Registar nova viatura</w:t>
      </w:r>
    </w:p>
    <w:p w:rsidR="00000000" w:rsidDel="00000000" w:rsidP="00000000" w:rsidRDefault="00000000" w:rsidRPr="00000000" w14:paraId="000000A0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Consultar viaturas guardadas</w:t>
      </w:r>
    </w:p>
    <w:p w:rsidR="00000000" w:rsidDel="00000000" w:rsidP="00000000" w:rsidRDefault="00000000" w:rsidRPr="00000000" w14:paraId="000000A1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Verificar zonas abrangidas</w:t>
      </w:r>
    </w:p>
    <w:p w:rsidR="00000000" w:rsidDel="00000000" w:rsidP="00000000" w:rsidRDefault="00000000" w:rsidRPr="00000000" w14:paraId="000000A2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Procurar parques cobertos</w:t>
      </w:r>
    </w:p>
    <w:p w:rsidR="00000000" w:rsidDel="00000000" w:rsidP="00000000" w:rsidRDefault="00000000" w:rsidRPr="00000000" w14:paraId="000000A3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Iniciar estacionamento</w:t>
      </w:r>
    </w:p>
    <w:p w:rsidR="00000000" w:rsidDel="00000000" w:rsidP="00000000" w:rsidRDefault="00000000" w:rsidRPr="00000000" w14:paraId="000000A4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Extension Point: Procurar parques cobertos</w:t>
      </w:r>
    </w:p>
    <w:p w:rsidR="00000000" w:rsidDel="00000000" w:rsidP="00000000" w:rsidRDefault="00000000" w:rsidRPr="00000000" w14:paraId="000000A5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Verificar estado do estacionamento</w:t>
      </w:r>
    </w:p>
    <w:p w:rsidR="00000000" w:rsidDel="00000000" w:rsidP="00000000" w:rsidRDefault="00000000" w:rsidRPr="00000000" w14:paraId="000000A6">
      <w:pPr>
        <w:numPr>
          <w:ilvl w:val="1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Extension Point: Procurar estacionamento ativo</w:t>
      </w:r>
    </w:p>
    <w:p w:rsidR="00000000" w:rsidDel="00000000" w:rsidP="00000000" w:rsidRDefault="00000000" w:rsidRPr="00000000" w14:paraId="000000A7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Cancelar estacionamento ativo</w:t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Estender período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Ver histórico de estacionamentos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after="80" w:lineRule="auto"/>
        <w:ind w:left="0"/>
        <w:rPr/>
      </w:pPr>
      <w:bookmarkStart w:colFirst="0" w:colLast="0" w:name="_3yohbp1fa2cm" w:id="14"/>
      <w:bookmarkEnd w:id="14"/>
      <w:r w:rsidDel="00000000" w:rsidR="00000000" w:rsidRPr="00000000">
        <w:rPr>
          <w:rtl w:val="0"/>
        </w:rPr>
        <w:t xml:space="preserve">Diagrama 2</w:t>
      </w:r>
    </w:p>
    <w:p w:rsidR="00000000" w:rsidDel="00000000" w:rsidP="00000000" w:rsidRDefault="00000000" w:rsidRPr="00000000" w14:paraId="000000AC">
      <w:pPr>
        <w:pStyle w:val="Heading4"/>
        <w:keepNext w:val="0"/>
        <w:keepLines w:val="0"/>
        <w:spacing w:after="80" w:before="280" w:lineRule="auto"/>
        <w:ind w:left="0"/>
        <w:rPr/>
      </w:pPr>
      <w:bookmarkStart w:colFirst="0" w:colLast="0" w:name="_593tsjdn5ozj" w:id="15"/>
      <w:bookmarkEnd w:id="15"/>
      <w:r w:rsidDel="00000000" w:rsidR="00000000" w:rsidRPr="00000000">
        <w:rPr>
          <w:rtl w:val="0"/>
        </w:rPr>
        <w:t xml:space="preserve">Casos de utilização de um sistema de eLearning (Moodle)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Atores Principais (exemplos mencionados):</w:t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Aluno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Professor</w:t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STIC (Serviço de suporte/administrador)</w:t>
      </w:r>
    </w:p>
    <w:p w:rsidR="00000000" w:rsidDel="00000000" w:rsidP="00000000" w:rsidRDefault="00000000" w:rsidRPr="00000000" w14:paraId="000000B1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Serviço de autenticação externo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Casos de Uso (exemplos listados no diagrama):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Aceder à página da UC</w:t>
      </w:r>
    </w:p>
    <w:p w:rsidR="00000000" w:rsidDel="00000000" w:rsidP="00000000" w:rsidRDefault="00000000" w:rsidRPr="00000000" w14:paraId="000000B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Aceder à Dashboard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Realizar exercícios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Enviar trabalhos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Aceder aos Eventos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 notificações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Autenticação (pode ser via serviço externo)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Criar atividades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Atribuir Docentes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Atribuir Alunos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Publicar Notas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Criar página da UC</w:t>
      </w:r>
    </w:p>
    <w:p w:rsidR="00000000" w:rsidDel="00000000" w:rsidP="00000000" w:rsidRDefault="00000000" w:rsidRPr="00000000" w14:paraId="000000B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Aceder à Dashboard Docente (Extension Point)</w:t>
      </w:r>
    </w:p>
    <w:p w:rsidR="00000000" w:rsidDel="00000000" w:rsidP="00000000" w:rsidRDefault="00000000" w:rsidRPr="00000000" w14:paraId="000000C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Aceder à Dashboard Aluno (Extension Point)</w:t>
      </w:r>
    </w:p>
    <w:p w:rsidR="00000000" w:rsidDel="00000000" w:rsidP="00000000" w:rsidRDefault="00000000" w:rsidRPr="00000000" w14:paraId="000000C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etc.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keepLines w:val="0"/>
        <w:spacing w:after="80" w:lineRule="auto"/>
        <w:ind w:left="0"/>
        <w:rPr/>
      </w:pPr>
      <w:bookmarkStart w:colFirst="0" w:colLast="0" w:name="_dipo2kobglmd" w:id="16"/>
      <w:bookmarkEnd w:id="16"/>
      <w:r w:rsidDel="00000000" w:rsidR="00000000" w:rsidRPr="00000000">
        <w:rPr>
          <w:rtl w:val="0"/>
        </w:rPr>
        <w:t xml:space="preserve">Diagrama 3</w:t>
      </w:r>
    </w:p>
    <w:p w:rsidR="00000000" w:rsidDel="00000000" w:rsidP="00000000" w:rsidRDefault="00000000" w:rsidRPr="00000000" w14:paraId="000000C4">
      <w:pPr>
        <w:pStyle w:val="Heading4"/>
        <w:keepNext w:val="0"/>
        <w:keepLines w:val="0"/>
        <w:spacing w:after="80" w:before="280" w:lineRule="auto"/>
        <w:ind w:left="0"/>
        <w:rPr/>
      </w:pPr>
      <w:bookmarkStart w:colFirst="0" w:colLast="0" w:name="_3a9zns1xajv" w:id="17"/>
      <w:bookmarkEnd w:id="17"/>
      <w:r w:rsidDel="00000000" w:rsidR="00000000" w:rsidRPr="00000000">
        <w:rPr>
          <w:rtl w:val="0"/>
        </w:rPr>
        <w:t xml:space="preserve">Proposta de casos de utilização relativos a um portal de agregação de serviços de saúde (portal myHealth’Hub)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Atores Principais (exemplos mencionados):</w:t>
      </w:r>
    </w:p>
    <w:p w:rsidR="00000000" w:rsidDel="00000000" w:rsidP="00000000" w:rsidRDefault="00000000" w:rsidRPr="00000000" w14:paraId="000000C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Paciente (ou Utilizador)</w:t>
      </w:r>
    </w:p>
    <w:p w:rsidR="00000000" w:rsidDel="00000000" w:rsidP="00000000" w:rsidRDefault="00000000" w:rsidRPr="00000000" w14:paraId="000000C7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Técnico (ou Funcionário de saúde)</w:t>
      </w:r>
    </w:p>
    <w:p w:rsidR="00000000" w:rsidDel="00000000" w:rsidP="00000000" w:rsidRDefault="00000000" w:rsidRPr="00000000" w14:paraId="000000C8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Profissional de Saúde</w:t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Sistema Externo (ex.: farmácias, hospitais, etc.)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Casos de Uso (exemplos listados no diagrama):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Adicionar equipamento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Adicionar serviços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Adicionar receita médica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Aceder às receitas médicas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Aceder a resultados de exames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Aceder à disponibilidade</w:t>
      </w:r>
    </w:p>
    <w:p w:rsidR="00000000" w:rsidDel="00000000" w:rsidP="00000000" w:rsidRDefault="00000000" w:rsidRPr="00000000" w14:paraId="000000D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Comprar produto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Marcar consulta</w:t>
      </w:r>
    </w:p>
    <w:p w:rsidR="00000000" w:rsidDel="00000000" w:rsidP="00000000" w:rsidRDefault="00000000" w:rsidRPr="00000000" w14:paraId="000000D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Efetuar login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Efetuar registo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Gerir dados pessoais</w:t>
      </w:r>
    </w:p>
    <w:p w:rsidR="00000000" w:rsidDel="00000000" w:rsidP="00000000" w:rsidRDefault="00000000" w:rsidRPr="00000000" w14:paraId="000000D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etc.</w:t>
      </w:r>
    </w:p>
    <w:sectPr>
      <w:headerReference r:id="rId6" w:type="default"/>
      <w:headerReference r:id="rId7" w:type="first"/>
      <w:footerReference r:id="rId8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7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3" Type="http://schemas.openxmlformats.org/officeDocument/2006/relationships/font" Target="fonts/OpenSans-regular.ttf"/><Relationship Id="rId12" Type="http://schemas.openxmlformats.org/officeDocument/2006/relationships/font" Target="fonts/LexendExtraLight-bold.ttf"/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9" Type="http://schemas.openxmlformats.org/officeDocument/2006/relationships/font" Target="fonts/Inter-italic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