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l3i3xxy2gs31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Paulo Lacerda (120202), João Leite (119859), Ellen Sales (117450), Rui Albuquerque (110509)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2, </w:t>
      </w:r>
      <w:r w:rsidDel="00000000" w:rsidR="00000000" w:rsidRPr="00000000">
        <w:rPr>
          <w:rtl w:val="0"/>
        </w:rPr>
        <w:t xml:space="preserve">Mar 10,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99</w:t>
      </w:r>
    </w:p>
    <w:sdt>
      <w:sdtPr>
        <w:id w:val="206049904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mlxh289vc10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E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rtl w:val="0"/>
        </w:rPr>
        <w:t xml:space="preserve">João Leite.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Paulo Lacerda -&gt; Atividade 2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João Leite -&gt; Atividade 1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Ellen Sales- &gt;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Rui Albuquerque -&gt;  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at2qxa3l2fp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x3k8jx13h2cd" w:id="5"/>
      <w:bookmarkEnd w:id="5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Foi utilizado o material disponibilizado pelo professor na plataforma e-learning.</w:t>
      </w:r>
    </w:p>
    <w:p w:rsidR="00000000" w:rsidDel="00000000" w:rsidP="00000000" w:rsidRDefault="00000000" w:rsidRPr="00000000" w14:paraId="00000019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5v46w6g1t7s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color w:val="008000"/>
        </w:rPr>
      </w:pPr>
      <w:bookmarkStart w:colFirst="0" w:colLast="0" w:name="_d7avh5axs3a" w:id="7"/>
      <w:bookmarkEnd w:id="7"/>
      <w:r w:rsidDel="00000000" w:rsidR="00000000" w:rsidRPr="00000000">
        <w:rPr>
          <w:rtl w:val="0"/>
        </w:rPr>
        <w:t xml:space="preserve">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ind w:left="0"/>
        <w:rPr/>
      </w:pPr>
      <w:bookmarkStart w:colFirst="0" w:colLast="0" w:name="_r392zx2gb3mg" w:id="8"/>
      <w:bookmarkEnd w:id="8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O modelo representa a organização de um concurso de programação, detalhando as entidades e suas relações: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Instituição:</w:t>
      </w:r>
      <w:r w:rsidDel="00000000" w:rsidR="00000000" w:rsidRPr="00000000">
        <w:rPr>
          <w:rtl w:val="0"/>
        </w:rPr>
        <w:t xml:space="preserve"> Cada instituição tem um nome e pode ter vários Professores associados. Cada professor pertence obrigatoriamente a uma instituição.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Professor:</w:t>
      </w:r>
      <w:r w:rsidDel="00000000" w:rsidR="00000000" w:rsidRPr="00000000">
        <w:rPr>
          <w:rtl w:val="0"/>
        </w:rPr>
        <w:t xml:space="preserve"> Identificado por nome e email, um professor pode assumir o papel de Responsável de Equipa (um professor responsável .por uma equipa) ou de Membro do CC (membro da comissão de concurso).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Responsável de Equipa:</w:t>
      </w:r>
      <w:r w:rsidDel="00000000" w:rsidR="00000000" w:rsidRPr="00000000">
        <w:rPr>
          <w:rtl w:val="0"/>
        </w:rPr>
        <w:t xml:space="preserve"> Cada equipa deve ter obrigatoriamente um professor responsável, que está associado diretamente à instituição da equipa.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Equipa:</w:t>
      </w:r>
      <w:r w:rsidDel="00000000" w:rsidR="00000000" w:rsidRPr="00000000">
        <w:rPr>
          <w:rtl w:val="0"/>
        </w:rPr>
        <w:t xml:space="preserve"> Cada equipa tem um nome e é composta por um ou mais Alunos. Cada aluno pertence a uma única equipa.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Aluno:</w:t>
      </w:r>
      <w:r w:rsidDel="00000000" w:rsidR="00000000" w:rsidRPr="00000000">
        <w:rPr>
          <w:rtl w:val="0"/>
        </w:rPr>
        <w:t xml:space="preserve"> Cada aluno é identificado por nome, email, curso e ano curricular, e está associado a apenas uma equipa.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Linguagem:</w:t>
      </w:r>
      <w:r w:rsidDel="00000000" w:rsidR="00000000" w:rsidRPr="00000000">
        <w:rPr>
          <w:rtl w:val="0"/>
        </w:rPr>
        <w:t xml:space="preserve"> Representa as linguagens de programação utilizadas no concurso. Cada submissão é realizada utilizando uma única linguagem.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Submissão:</w:t>
      </w:r>
      <w:r w:rsidDel="00000000" w:rsidR="00000000" w:rsidRPr="00000000">
        <w:rPr>
          <w:rtl w:val="0"/>
        </w:rPr>
        <w:t xml:space="preserve"> Cada submissão tem associada informações como o ficheiro, data e hora, e é feita por uma equipa.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Cada problema possui um título e enunciado. Submissões são feitas para resolver problemas específicos.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Membro do CC:</w:t>
      </w:r>
      <w:r w:rsidDel="00000000" w:rsidR="00000000" w:rsidRPr="00000000">
        <w:rPr>
          <w:rtl w:val="0"/>
        </w:rPr>
        <w:t xml:space="preserve"> Um professor pode assumir o papel de membro da comissão de concurso (CC). Membros do CC podem avaliar submissões e têm experiência em linguagens de programação específicas.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Pontuação:</w:t>
      </w:r>
      <w:r w:rsidDel="00000000" w:rsidR="00000000" w:rsidRPr="00000000">
        <w:rPr>
          <w:rtl w:val="0"/>
        </w:rPr>
        <w:t xml:space="preserve"> Quando uma submissão é avaliada, é o membro do CC que propõe a pontuação correspondente.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Respondendo às perguntas: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a. Todas as Equipas precisam de indicar um Professor responsável.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Verdadeiro. O diagrama mostra que a relação entre "Equipa" e "Responsável de Equipa" é obrigatória (cardinalidade 1), e como "Responsável de Equipa" é um papel assumido por um "Professor", todas as equipas precisam de ter um professor responsável.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b. Podem existir Professores que não são responsáveis por nenhuma Equipa.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Verdadeiro. Um professor pode não assumir o papel de "Responsável de Equipa", visto que essa relação é opcional para o professor.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c. É possível saber os alunos que realizam uma Entrega (submissão).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Falso. O diagrama mostra que a submissão é feita por uma "Equipa", não por um aluno específico. Assim, não é possível identificar diretamente qual aluno fez a submissão.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d. Uma Submissão é avaliada por um Membro do CC.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Parcialmente Verdadeiro. O diagrama mostra que a pontuação de uma submissão pode ser atribuída por um membro do CC, mas essa relação é opcional (cardinalidade 0..*). Portanto, uma submissão pode ou não ser avaliada.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e. Uma Equipa pode ser composta por alunos de várias Instituições.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Falso. Cada aluno pertence a uma única equipa, e essa equipa está associada a uma instituição (via o professor responsável). Assim, os alunos de uma equipa devem pertencer à mesma instituição.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f. Um Membro do CC só avalia entregas resolvidas com linguagens de programação para as quais é especialista.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Falso. Embora o modelo relacione membros do CC com linguagens de programação em que têm experiência, não existe uma restrição explícita de que só podem avaliar submissões feitas nessas linguagens.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g. As Entregas de uma Equipa são sempre feitas pelo capitão da equipa.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Falso. O modelo não define o conceito de "capitão da equipa" nem identifica um aluno específico responsável pelas submissões.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h. Há docentes membros do CC que trabalham em mais que uma Instituição do ensino superior.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Falso. O diagrama mostra que cada professor pertence exatamente a uma instituição, e como o membro do CC é um papel de professor, ele só pode estar vinculado a uma única instituição.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left="0"/>
        <w:rPr>
          <w:b w:val="1"/>
          <w:color w:val="000000"/>
        </w:rPr>
      </w:pPr>
      <w:bookmarkStart w:colFirst="0" w:colLast="0" w:name="_g3cgcdeqw33" w:id="9"/>
      <w:bookmarkEnd w:id="9"/>
      <w:r w:rsidDel="00000000" w:rsidR="00000000" w:rsidRPr="00000000">
        <w:rPr>
          <w:rtl w:val="0"/>
        </w:rPr>
        <w:t xml:space="preserve">Atividade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No exemplo #1 do lab, temos duas abordagens distintas para interpretar o conceito: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240" w:lineRule="auto"/>
        <w:ind w:left="144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Opção 1: Modelação como Atributo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O conceito é tratado como um simples dado dentro de uma classe.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Não permite comportamentos adicionais além do armazenamento de valor.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Útil para propriedades fixas, como um número de telefone ou um nome.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Opção 2: Modelação como Associação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O conceito é representado como uma classe separada, associada a outra classe.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Permite regras de negócio, validação e comportamentos específicos.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240" w:before="0" w:beforeAutospacing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Possibilita reutilização do conceito em diferentes contextos.</w:t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evidenciar uma outra dualidade, podemos analisar um sistema de gestão hospitalar nos seguintes aspetos: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Modelação como Atributo:</w:t>
      </w:r>
      <w:r w:rsidDel="00000000" w:rsidR="00000000" w:rsidRPr="00000000">
        <w:rPr>
          <w:rtl w:val="0"/>
        </w:rPr>
        <w:t xml:space="preserve"> O tipo sanguíneo de um paciente pode ser representado como um atributo simples na classe Paciente, pois é apenas um valor fixo, sem comportamento adicional.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Modelação como Associação:</w:t>
      </w:r>
      <w:r w:rsidDel="00000000" w:rsidR="00000000" w:rsidRPr="00000000">
        <w:rPr>
          <w:rtl w:val="0"/>
        </w:rPr>
        <w:t xml:space="preserve"> Se quisermos incluir informações sobre compatibilidade sanguínea para transfusões, podemos modelar “Grupo Sanguíneo” como uma classe separada, associando-a ao “Paciente”. Essa abordagem permite encapsular regras de compatibilidade e criar relações entre diferentes grupos sanguíneos, aumentando a flexibilidade do sistema.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ind w:left="0"/>
        <w:rPr/>
      </w:pPr>
      <w:bookmarkStart w:colFirst="0" w:colLast="0" w:name="_mlxh289vc104" w:id="10"/>
      <w:bookmarkEnd w:id="10"/>
      <w:r w:rsidDel="00000000" w:rsidR="00000000" w:rsidRPr="00000000">
        <w:rPr>
          <w:rtl w:val="0"/>
        </w:rPr>
        <w:t xml:space="preserve">Atividade 3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435288" cy="4445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288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086475" cy="4352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