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Bibliografia Recomendada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X69f4d0a4f35e5c699516921c30c6cbb61df8eee"/>
    <w:p>
      <w:pPr>
        <w:pStyle w:val="Heading1"/>
      </w:pPr>
      <w:r>
        <w:t xml:space="preserve">Bibliografia Recomendada — Base de Sustentação Científica</w:t>
      </w:r>
    </w:p>
    <w:p>
      <w:pPr>
        <w:pStyle w:val="FirstParagraph"/>
      </w:pPr>
      <w:r>
        <w:t xml:space="preserve">Esta lista foi levantada por busca direta (não é reconstrução de memória) e organizada em</w:t>
      </w:r>
      <w:r>
        <w:t xml:space="preserve"> </w:t>
      </w:r>
      <w:r>
        <w:rPr>
          <w:bCs/>
          <w:b/>
        </w:rPr>
        <w:t xml:space="preserve">6 clusters temáticos</w:t>
      </w:r>
      <w:r>
        <w:t xml:space="preserve">, cada um mapeado a uma seção específica do documento de base científica. Ela é um</w:t>
      </w:r>
      <w:r>
        <w:t xml:space="preserve"> </w:t>
      </w:r>
      <w:r>
        <w:rPr>
          <w:bCs/>
          <w:b/>
        </w:rPr>
        <w:t xml:space="preserve">ponto de partida</w:t>
      </w:r>
      <w:r>
        <w:t xml:space="preserve"> </w:t>
      </w:r>
      <w:r>
        <w:t xml:space="preserve">para a revisão sistemática descrita na Seção 9 do documento principal — não a substitui. São ~20 referências; a meta declarada no documento é revisar ao menos ~50 trabalhos.</w:t>
      </w:r>
    </w:p>
    <w:p>
      <w:pPr>
        <w:pStyle w:val="BodyText"/>
      </w:pPr>
      <w:r>
        <w:t xml:space="preserve">Cada referência traz uma nota curta ligando o trabalho à sua pergunta de pesquisa.</w:t>
      </w:r>
    </w:p>
    <w:p>
      <w:r>
        <w:pict>
          <v:rect style="width:0;height:1.5pt" o:hralign="center" o:hrstd="t" o:hr="t"/>
        </w:pict>
      </w:r>
    </w:p>
    <w:bookmarkStart w:id="20" w:name="X210fe1435dee175e7585e87e47f42e6782e74de"/>
    <w:p>
      <w:pPr>
        <w:pStyle w:val="Heading2"/>
      </w:pPr>
      <w:r>
        <w:t xml:space="preserve">Cluster A — Representação de Arquitetura como Grafo (base para Seção 4 e 7)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GAIDELS, E.; KIRIKOVA, M.</w:t>
      </w:r>
      <w:r>
        <w:t xml:space="preserve"> </w:t>
      </w:r>
      <w:r>
        <w:t xml:space="preserve">Service Dependency Graph Analysis in Microservice Architecture. In:</w:t>
      </w:r>
      <w:r>
        <w:t xml:space="preserve"> </w:t>
      </w:r>
      <w:r>
        <w:rPr>
          <w:iCs/>
          <w:i/>
        </w:rPr>
        <w:t xml:space="preserve">Perspectives in Business Informatics Research (BIR 2020)</w:t>
      </w:r>
      <w:r>
        <w:t xml:space="preserve">, LNBIP vol. 398, Springer, 2020. DOI: 10.1007/978-3-030-61140-8_9</w:t>
      </w:r>
      <w:r>
        <w:t xml:space="preserve"> </w:t>
      </w:r>
      <w:r>
        <w:rPr>
          <w:iCs/>
          <w:i/>
        </w:rPr>
        <w:t xml:space="preserve">Nota: aplica algoritmos de grafo (centralidade, comunidades) para avaliar qualidade arquitetural — proximidade direta com sua proposta de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arquitetura como estrutura de dados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NURMELA, T.; NEVAVUORI, P.; RAHMAN, I.</w:t>
      </w:r>
      <w:r>
        <w:t xml:space="preserve"> </w:t>
      </w:r>
      <w:r>
        <w:t xml:space="preserve">Qualitative evaluation of dependency graph representativeness.</w:t>
      </w:r>
      <w:r>
        <w:t xml:space="preserve"> </w:t>
      </w:r>
      <w:r>
        <w:rPr>
          <w:iCs/>
          <w:i/>
        </w:rPr>
        <w:t xml:space="preserve">CEUR Workshop Proceedings</w:t>
      </w:r>
      <w:r>
        <w:t xml:space="preserve">, vol. 2520, p. 37–44, 2019.</w:t>
      </w:r>
      <w:r>
        <w:t xml:space="preserve"> </w:t>
      </w:r>
      <w:r>
        <w:rPr>
          <w:iCs/>
          <w:i/>
        </w:rPr>
        <w:t xml:space="preserve">Nota: discute o quão fiel um grafo de dependências é em relação ao comportamento real — relevante para sua distinção entre dependência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declarada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vs. </w:t>
      </w:r>
      <w:r>
        <w:rPr>
          <w:iCs/>
          <w:i/>
        </w:rPr>
        <w:t xml:space="preserve">“</w:t>
      </w:r>
      <w:r>
        <w:rPr>
          <w:iCs/>
          <w:i/>
        </w:rPr>
        <w:t xml:space="preserve">exercida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TIWARI, A.</w:t>
      </w:r>
      <w:r>
        <w:t xml:space="preserve"> </w:t>
      </w:r>
      <w:r>
        <w:t xml:space="preserve">Unveiling Graph Structures in Microservices: Service Dependency Graph, Call Graph, and Causal Graph. 2024.</w:t>
      </w:r>
      <w:r>
        <w:t xml:space="preserve"> </w:t>
      </w:r>
      <w:r>
        <w:rPr>
          <w:iCs/>
          <w:i/>
        </w:rPr>
        <w:t xml:space="preserve">Nota: fonte expositiva (não peer-reviewed) que consolida os três tipos de grafo usados na literatura — útil como mapa inicial de conceitos antes de ir às fontes primárias.</w:t>
      </w:r>
    </w:p>
    <w:p>
      <w:pPr>
        <w:numPr>
          <w:ilvl w:val="0"/>
          <w:numId w:val="1001"/>
        </w:numPr>
      </w:pPr>
      <w:r>
        <w:t xml:space="preserve">IEEE — Using Service Dependency Graph to Analyze and Test Microservices (GMAT/GSMART).</w:t>
      </w:r>
      <w:r>
        <w:t xml:space="preserve"> </w:t>
      </w:r>
      <w:r>
        <w:rPr>
          <w:iCs/>
          <w:i/>
        </w:rPr>
        <w:t xml:space="preserve">IEEE Conference Publication</w:t>
      </w:r>
      <w:r>
        <w:t xml:space="preserve">, 2018.</w:t>
      </w:r>
      <w:r>
        <w:t xml:space="preserve"> </w:t>
      </w:r>
      <w:r>
        <w:rPr>
          <w:iCs/>
          <w:i/>
        </w:rPr>
        <w:t xml:space="preserve">Nota: geração automática de grafo de dependência de serviços a partir de execução — precursor direto da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Etapa 2: Modelo Computacional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do seu pipeline.</w:t>
      </w:r>
    </w:p>
    <w:p>
      <w:r>
        <w:pict>
          <v:rect style="width:0;height:1.5pt" o:hralign="center" o:hrstd="t" o:hr="t"/>
        </w:pict>
      </w:r>
    </w:p>
    <w:bookmarkEnd w:id="20"/>
    <w:bookmarkStart w:id="21" w:name="Xe4355868c51d6178651d44c946df0d214acb8ba"/>
    <w:p>
      <w:pPr>
        <w:pStyle w:val="Heading2"/>
      </w:pPr>
      <w:r>
        <w:t xml:space="preserve">Cluster B — Acoplamento e Métricas de Qualidade Arquitetural (base para Seção 7.2, item 1)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ZHONG, C.; ZHANG, H.; LI, C. et al.</w:t>
      </w:r>
      <w:r>
        <w:t xml:space="preserve"> </w:t>
      </w:r>
      <w:r>
        <w:t xml:space="preserve">On measuring coupling between microservices.</w:t>
      </w:r>
      <w:r>
        <w:t xml:space="preserve"> </w:t>
      </w:r>
      <w:r>
        <w:rPr>
          <w:iCs/>
          <w:i/>
        </w:rPr>
        <w:t xml:space="preserve">Journal of Systems and Software</w:t>
      </w:r>
      <w:r>
        <w:t xml:space="preserve">, vol. 200, 2023.</w:t>
      </w:r>
      <w:r>
        <w:t xml:space="preserve"> </w:t>
      </w:r>
      <w:r>
        <w:rPr>
          <w:iCs/>
          <w:i/>
        </w:rPr>
        <w:t xml:space="preserve">Nota: propõe 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Microservice Coupling Index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métrica comparável de acoplamento; referência direta para sua pergunta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onde o acoplamento está crescendo?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PEREPLETCHIKOV, M.; RYAN, C.; FRAMPTON, K.; TARI, Z.</w:t>
      </w:r>
      <w:r>
        <w:t xml:space="preserve"> </w:t>
      </w:r>
      <w:r>
        <w:t xml:space="preserve">Coupling metrics for predicting maintainability in service-oriented designs. In:</w:t>
      </w:r>
      <w:r>
        <w:t xml:space="preserve"> </w:t>
      </w:r>
      <w:r>
        <w:rPr>
          <w:iCs/>
          <w:i/>
        </w:rPr>
        <w:t xml:space="preserve">ASWEC’07</w:t>
      </w:r>
      <w:r>
        <w:t xml:space="preserve">, IEEE, 2007.</w:t>
      </w:r>
      <w:r>
        <w:t xml:space="preserve"> </w:t>
      </w:r>
      <w:r>
        <w:rPr>
          <w:iCs/>
          <w:i/>
        </w:rPr>
        <w:t xml:space="preserve">Nota: referência clássica e fundacional de métricas de acoplamento em SOA, ainda citada por trabalhos recentes.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[Journal of the Brazilian Computer Society, 2021]</w:t>
      </w:r>
      <w:r>
        <w:t xml:space="preserve"> </w:t>
      </w:r>
      <w:r>
        <w:t xml:space="preserve">A method for monitoring the coupling evolution of microservice-based architectures. DOI: 10.1186/s13173-021-00120-y</w:t>
      </w:r>
      <w:r>
        <w:t xml:space="preserve"> </w:t>
      </w:r>
      <w:r>
        <w:rPr>
          <w:iCs/>
          <w:i/>
        </w:rPr>
        <w:t xml:space="preserve">Nota: ⭐ referência crítica — analisa acoplamento como série temporal (não snapshot), detecta tendência de degradação, e é brasileira. É praticamente o mesmo objetivo da sua Seção 11.4 (</w:t>
      </w:r>
      <w:r>
        <w:rPr>
          <w:iCs/>
          <w:i/>
        </w:rPr>
        <w:t xml:space="preserve">“</w:t>
      </w:r>
      <w:r>
        <w:rPr>
          <w:iCs/>
          <w:i/>
        </w:rPr>
        <w:t xml:space="preserve">complexidade como série ao longo do tempo</w:t>
      </w:r>
      <w:r>
        <w:rPr>
          <w:iCs/>
          <w:i/>
        </w:rPr>
        <w:t xml:space="preserve">”</w:t>
      </w:r>
      <w:r>
        <w:rPr>
          <w:iCs/>
          <w:i/>
        </w:rPr>
        <w:t xml:space="preserve">). Precisa entrar na sua discussão de trabalhos relacionados obrigatoriamente.</w:t>
      </w:r>
    </w:p>
    <w:p>
      <w:r>
        <w:pict>
          <v:rect style="width:0;height:1.5pt" o:hralign="center" o:hrstd="t" o:hr="t"/>
        </w:pict>
      </w:r>
    </w:p>
    <w:bookmarkEnd w:id="21"/>
    <w:bookmarkStart w:id="22" w:name="X413a81f4171bc774b57f781cd848ab9c9768753"/>
    <w:p>
      <w:pPr>
        <w:pStyle w:val="Heading2"/>
      </w:pPr>
      <w:r>
        <w:t xml:space="preserve">Cluster C — Erosão Arquitetural e Dívida Técnica Arquitetural (base para Seção 3, itens 8–10)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LI, R.; LIANG, P.; SOLIMAN, M.; AVGERIOU, P.</w:t>
      </w:r>
      <w:r>
        <w:t xml:space="preserve"> </w:t>
      </w:r>
      <w:r>
        <w:t xml:space="preserve">Understanding software architecture erosion: A systematic mapping study.</w:t>
      </w:r>
      <w:r>
        <w:t xml:space="preserve"> </w:t>
      </w:r>
      <w:r>
        <w:rPr>
          <w:iCs/>
          <w:i/>
        </w:rPr>
        <w:t xml:space="preserve">Journal of Software: Evolution and Process</w:t>
      </w:r>
      <w:r>
        <w:t xml:space="preserve">, 34(3), e2423, 2022.</w:t>
      </w:r>
      <w:r>
        <w:t xml:space="preserve"> </w:t>
      </w:r>
      <w:r>
        <w:rPr>
          <w:iCs/>
          <w:i/>
        </w:rPr>
        <w:t xml:space="preserve">Nota: mapeamento sistemático — modelo de referência para como você mesmo deve conduzir sua própria revisão (Seção 9).</w:t>
      </w:r>
    </w:p>
    <w:p>
      <w:pPr>
        <w:numPr>
          <w:ilvl w:val="0"/>
          <w:numId w:val="1003"/>
        </w:numPr>
      </w:pPr>
      <w:r>
        <w:t xml:space="preserve">Understanding Architecture Erosion: The Practitioners’ Perspective. arXiv:2103.11392.</w:t>
      </w:r>
      <w:r>
        <w:t xml:space="preserve"> </w:t>
      </w:r>
      <w:r>
        <w:rPr>
          <w:iCs/>
          <w:i/>
        </w:rPr>
        <w:t xml:space="preserve">Nota: estudo qualitativo com praticantes sobre causas e sintomas de erosão — dá vocabulário para sua Seção 3 (</w:t>
      </w:r>
      <w:r>
        <w:rPr>
          <w:iCs/>
          <w:i/>
        </w:rPr>
        <w:t xml:space="preserve">“</w:t>
      </w:r>
      <w:r>
        <w:rPr>
          <w:iCs/>
          <w:i/>
        </w:rPr>
        <w:t xml:space="preserve">dívida arquitetural</w:t>
      </w:r>
      <w:r>
        <w:rPr>
          <w:iCs/>
          <w:i/>
        </w:rPr>
        <w:t xml:space="preserve">”</w:t>
      </w:r>
      <w:r>
        <w:rPr>
          <w:iCs/>
          <w:i/>
        </w:rPr>
        <w:t xml:space="preserve">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MARTINI, A.; BOSCH, J.; CHAUDRON, M.</w:t>
      </w:r>
      <w:r>
        <w:t xml:space="preserve"> </w:t>
      </w:r>
      <w:r>
        <w:t xml:space="preserve">Architecture technical debt: Understanding causes and a qualitative model. In:</w:t>
      </w:r>
      <w:r>
        <w:t xml:space="preserve"> </w:t>
      </w:r>
      <w:r>
        <w:rPr>
          <w:iCs/>
          <w:i/>
        </w:rPr>
        <w:t xml:space="preserve">EUROMICRO SEAA</w:t>
      </w:r>
      <w:r>
        <w:t xml:space="preserve">, IEEE, 2014.</w:t>
      </w:r>
      <w:r>
        <w:t xml:space="preserve"> </w:t>
      </w:r>
      <w:r>
        <w:rPr>
          <w:iCs/>
          <w:i/>
        </w:rPr>
        <w:t xml:space="preserve">Nota: um dos trabalhos fundadores do conceito de dívida técnica arquitetural.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VERDECCHIA, R.; MALAVOLTA, I.; LAGO, P.</w:t>
      </w:r>
      <w:r>
        <w:t xml:space="preserve"> </w:t>
      </w:r>
      <w:r>
        <w:t xml:space="preserve">Architectural technical debt identification: The research landscape. In:</w:t>
      </w:r>
      <w:r>
        <w:t xml:space="preserve"> </w:t>
      </w:r>
      <w:r>
        <w:rPr>
          <w:iCs/>
          <w:i/>
        </w:rPr>
        <w:t xml:space="preserve">International Conference on Technical Debt</w:t>
      </w:r>
      <w:r>
        <w:t xml:space="preserve">, 2018.</w:t>
      </w:r>
      <w:r>
        <w:t xml:space="preserve"> </w:t>
      </w:r>
      <w:r>
        <w:rPr>
          <w:iCs/>
          <w:i/>
        </w:rPr>
        <w:t xml:space="preserve">Nota: mapeia 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estado da arte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de identificação de dívida arquitetural — comparável diretamente ao exercício que você vai fazer na Seção 9.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BESKER, T.; MARTINI, A.; BOSCH, J.</w:t>
      </w:r>
      <w:r>
        <w:t xml:space="preserve"> </w:t>
      </w:r>
      <w:r>
        <w:t xml:space="preserve">Managing architectural technical debt: A unified model and systematic literature review.</w:t>
      </w:r>
      <w:r>
        <w:t xml:space="preserve"> </w:t>
      </w:r>
      <w:r>
        <w:rPr>
          <w:iCs/>
          <w:i/>
        </w:rPr>
        <w:t xml:space="preserve">Journal of Systems and Software</w:t>
      </w:r>
      <w:r>
        <w:t xml:space="preserve">, 135, p. 1–16, 2018.</w:t>
      </w:r>
      <w:r>
        <w:t xml:space="preserve"> </w:t>
      </w:r>
      <w:r>
        <w:rPr>
          <w:iCs/>
          <w:i/>
        </w:rPr>
        <w:t xml:space="preserve">Nota: revisão sistemática com modelo unificado — referência de método e de conteúdo.</w:t>
      </w:r>
    </w:p>
    <w:p>
      <w:r>
        <w:pict>
          <v:rect style="width:0;height:1.5pt" o:hralign="center" o:hrstd="t" o:hr="t"/>
        </w:pict>
      </w:r>
    </w:p>
    <w:bookmarkEnd w:id="22"/>
    <w:bookmarkStart w:id="23" w:name="X52e80bb9f1d096a8a20a8e31d97135017999000"/>
    <w:p>
      <w:pPr>
        <w:pStyle w:val="Heading2"/>
      </w:pPr>
      <w:r>
        <w:t xml:space="preserve">Cluster D — Análise de Causa Raiz e Propagação de Falhas / AIOps (base para Seção 7.2, item 3)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SOLDANI, J.; BROGI, A.</w:t>
      </w:r>
      <w:r>
        <w:t xml:space="preserve"> </w:t>
      </w:r>
      <w:r>
        <w:t xml:space="preserve">Anomaly Detection and Failure Root Cause Analysis in (Micro)Service-Based Cloud Applications: A Survey.</w:t>
      </w:r>
      <w:r>
        <w:t xml:space="preserve"> </w:t>
      </w:r>
      <w:r>
        <w:rPr>
          <w:iCs/>
          <w:i/>
        </w:rPr>
        <w:t xml:space="preserve">Journal of Systems and Software</w:t>
      </w:r>
      <w:r>
        <w:t xml:space="preserve">, 178, 2021. arXiv:2105.12378</w:t>
      </w:r>
      <w:r>
        <w:t xml:space="preserve"> </w:t>
      </w:r>
      <w:r>
        <w:rPr>
          <w:iCs/>
          <w:i/>
        </w:rPr>
        <w:t xml:space="preserve">Nota: survey de referência para propagação de falhas em microsserviços — leitura obrigatória antes de formalizar seu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algoritmo de propagação de falha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WANG, T.; QI, G.</w:t>
      </w:r>
      <w:r>
        <w:t xml:space="preserve"> </w:t>
      </w:r>
      <w:r>
        <w:t xml:space="preserve">A Comprehensive Survey on Root Cause Analysis in (Micro)Services: Methodologies, Challenges, and Trends. arXiv:2408.00803, 2024.</w:t>
      </w:r>
      <w:r>
        <w:t xml:space="preserve"> </w:t>
      </w:r>
      <w:r>
        <w:rPr>
          <w:iCs/>
          <w:i/>
        </w:rPr>
        <w:t xml:space="preserve">Nota: survey mais recente (2024), cobre inclusive abordagens com LLM — bom para discutir a Etapa 4 (LLM) do seu pipeline.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BRANDÓN, Á. et al.</w:t>
      </w:r>
      <w:r>
        <w:t xml:space="preserve"> </w:t>
      </w:r>
      <w:r>
        <w:t xml:space="preserve">Graph-based root cause analysis for service-oriented and microservice architectures.</w:t>
      </w:r>
      <w:r>
        <w:t xml:space="preserve"> </w:t>
      </w:r>
      <w:r>
        <w:rPr>
          <w:iCs/>
          <w:i/>
        </w:rPr>
        <w:t xml:space="preserve">Journal of Systems and Software</w:t>
      </w:r>
      <w:r>
        <w:t xml:space="preserve">, 2022 (citado via jisem-journal.com).</w:t>
      </w:r>
      <w:r>
        <w:t xml:space="preserve"> </w:t>
      </w:r>
      <w:r>
        <w:rPr>
          <w:iCs/>
          <w:i/>
        </w:rPr>
        <w:t xml:space="preserve">Nota: constrói grafos de dependência e navega neles para localizar causa raiz — mais um antecedente direto do seu modelo.</w:t>
      </w:r>
    </w:p>
    <w:p>
      <w:r>
        <w:pict>
          <v:rect style="width:0;height:1.5pt" o:hralign="center" o:hrstd="t" o:hr="t"/>
        </w:pict>
      </w:r>
    </w:p>
    <w:bookmarkEnd w:id="23"/>
    <w:bookmarkStart w:id="24" w:name="X7d1662d0a143e32b456b45affc9fd316f7fafad"/>
    <w:p>
      <w:pPr>
        <w:pStyle w:val="Heading2"/>
      </w:pPr>
      <w:r>
        <w:t xml:space="preserve">Cluster E — Reconstrução Arquitetural e Análise de Impacto de Mudança (base para Seção 7.2, item 4 e Seção 11)</w:t>
      </w:r>
    </w:p>
    <w:p>
      <w:pPr>
        <w:numPr>
          <w:ilvl w:val="0"/>
          <w:numId w:val="1005"/>
        </w:numPr>
      </w:pPr>
      <w:r>
        <w:t xml:space="preserve">Towards Infrastructure For Change Impact Analysis in Microservices: Early Findings and Prototyping. arXiv:2501.11778, 2025.</w:t>
      </w:r>
      <w:r>
        <w:t xml:space="preserve"> </w:t>
      </w:r>
      <w:r>
        <w:rPr>
          <w:iCs/>
          <w:i/>
        </w:rPr>
        <w:t xml:space="preserve">Nota: ⭐ referência muito próxima da sua proposta — usa reconstrução arquitetural incremental para prever impacto de mudança antes do deploy, exatamente sua pergunta #5 (Seção 3). Comparar diretamente com seu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algoritmo de impacto de mudança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BOHNER, S. A.; ARNOLD, R. S.</w:t>
      </w:r>
      <w:r>
        <w:t xml:space="preserve"> </w:t>
      </w:r>
      <w:r>
        <w:rPr>
          <w:iCs/>
          <w:i/>
        </w:rPr>
        <w:t xml:space="preserve">Software Change Impact Analysis</w:t>
      </w:r>
      <w:r>
        <w:t xml:space="preserve">. IEEE Computer Society Press, 1996.</w:t>
      </w:r>
      <w:r>
        <w:t xml:space="preserve"> </w:t>
      </w:r>
      <w:r>
        <w:rPr>
          <w:iCs/>
          <w:i/>
        </w:rPr>
        <w:t xml:space="preserve">Nota: referência fundacional (clássica, pré-microsserviços) do campo de análise de impacto de mudança — necessária para mostrar a linhagem histórica do problema.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MURPHY, G.; NOTKIN, D.; SULLIVAN, K.</w:t>
      </w:r>
      <w:r>
        <w:t xml:space="preserve"> </w:t>
      </w:r>
      <w:r>
        <w:t xml:space="preserve">Software reflexion models: bridging the gap between design and implementation.</w:t>
      </w:r>
      <w:r>
        <w:t xml:space="preserve"> </w:t>
      </w:r>
      <w:r>
        <w:rPr>
          <w:iCs/>
          <w:i/>
        </w:rPr>
        <w:t xml:space="preserve">IEEE Transactions on Software Engineering</w:t>
      </w:r>
      <w:r>
        <w:t xml:space="preserve">, 2001.</w:t>
      </w:r>
      <w:r>
        <w:t xml:space="preserve"> </w:t>
      </w:r>
      <w:r>
        <w:rPr>
          <w:iCs/>
          <w:i/>
        </w:rPr>
        <w:t xml:space="preserve">Nota: trabalho clássico sobre comparar arquitetura pretendida (declarada) vs. arquitetura real (extraída) — fundamento teórico direto da sua distinção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declarado vs. exercido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175b8faba022f3db570ace110f7731a17fe582a"/>
    <w:p>
      <w:pPr>
        <w:pStyle w:val="Heading2"/>
      </w:pPr>
      <w:r>
        <w:t xml:space="preserve">Cluster F — Detecção de Anti-Padrões Arquiteturais Dinâmicos (complementar à Seção 7)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ABDELFATTAH, A. S.; CERNÝ, T. et al.</w:t>
      </w:r>
      <w:r>
        <w:t xml:space="preserve"> </w:t>
      </w:r>
      <w:r>
        <w:t xml:space="preserve">Automatic Anti-Pattern Detection in Microservice Architectures Based on Distributed Tracing.</w:t>
      </w:r>
      <w:r>
        <w:t xml:space="preserve"> </w:t>
      </w:r>
      <w:r>
        <w:rPr>
          <w:iCs/>
          <w:i/>
        </w:rPr>
        <w:t xml:space="preserve">Nota: detecção de anti-padrões (mega-service, bottleneck-service, nano-service etc.) via tracing distribuído — relevante para os algoritmos de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gargalo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mencionados na sua Seção 3.</w:t>
      </w:r>
    </w:p>
    <w:p>
      <w:pPr>
        <w:numPr>
          <w:ilvl w:val="0"/>
          <w:numId w:val="1006"/>
        </w:numPr>
      </w:pPr>
      <w:r>
        <w:t xml:space="preserve">Using dependency graph and graph theory concepts to identify anti-patterns in a microservices system: A tool-based approach (mapeamento sistemático, 31 artigos analisados).</w:t>
      </w:r>
      <w:r>
        <w:t xml:space="preserve"> </w:t>
      </w:r>
      <w:r>
        <w:rPr>
          <w:iCs/>
          <w:i/>
        </w:rPr>
        <w:t xml:space="preserve">Nota: outro exemplo de mapeamento sistemático de escopo menor — útil como referência metodológica para dimensionar a sua própria revisão.</w:t>
      </w:r>
    </w:p>
    <w:p>
      <w:r>
        <w:pict>
          <v:rect style="width:0;height:1.5pt" o:hralign="center" o:hrstd="t" o:hr="t"/>
        </w:pict>
      </w:r>
    </w:p>
    <w:bookmarkEnd w:id="25"/>
    <w:bookmarkStart w:id="26" w:name="como-usar-esta-lista"/>
    <w:p>
      <w:pPr>
        <w:pStyle w:val="Heading2"/>
      </w:pPr>
      <w:r>
        <w:t xml:space="preserve">Como usar esta lista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Não trate como bibliografia final.</w:t>
      </w:r>
      <w:r>
        <w:t xml:space="preserve"> </w:t>
      </w:r>
      <w:r>
        <w:t xml:space="preserve">É um ponto de partida real (20 referências, buscadas agora), não o resultado da revisão sistemática da Seção 9 — essa ainda precisa ser feita com rigor (strings de busca formais, critérios de inclusão/exclusão, bases como IEEE Xplore, ACM DL, Scopus, Web of Science).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 Cluster B, referência 7, e o Cluster E, referência 16, são os mais próximos da sua ideia central.</w:t>
      </w:r>
      <w:r>
        <w:t xml:space="preserve"> </w:t>
      </w:r>
      <w:r>
        <w:t xml:space="preserve">Eles devem ser lidos primeiro e discutidos com cuidado na seção de trabalhos relacionados — é ali que normalmente uma banca pergunta</w:t>
      </w:r>
      <w:r>
        <w:t xml:space="preserve"> </w:t>
      </w:r>
      <w:r>
        <w:t xml:space="preserve">“</w:t>
      </w:r>
      <w:r>
        <w:t xml:space="preserve">e por que isso não é apenas o que o Zhong et al. (2023) [ou o trabalho brasileiro do JBCS] já fez?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Sugestão de próximo passo: para cada cluster, buscar os artigos que</w:t>
      </w:r>
      <w:r>
        <w:t xml:space="preserve"> </w:t>
      </w:r>
      <w:r>
        <w:rPr>
          <w:bCs/>
          <w:b/>
        </w:rPr>
        <w:t xml:space="preserve">citam</w:t>
      </w:r>
      <w:r>
        <w:t xml:space="preserve"> </w:t>
      </w:r>
      <w:r>
        <w:t xml:space="preserve">essas referências (forward citation search, via Google Scholar/Semantic Scholar) — isso normalmente revela os 2–3 anos mais recentes de evolução do tema.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Bibliografia Recomendada</dc:title>
  <dc:creator/>
  <cp:keywords/>
  <dcterms:created xsi:type="dcterms:W3CDTF">2026-07-11T23:16:02Z</dcterms:created>
  <dcterms:modified xsi:type="dcterms:W3CDTF">2026-07-11T23:16:02Z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