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MONITORIA DE PROBABILIDADE II: SUA IMPORTÂNCIA NA FORMAÇÃO DO DISCENTE</w:t>
      </w:r>
    </w:p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</w:rPr>
      </w:pPr>
      <w:r>
        <w:rPr>
          <w:rFonts w:ascii="Latin Modern Sans" w:hAnsi="Latin Modern Sans"/>
          <w:b/>
          <w:bCs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Latin Modern Sans" w:hAnsi="Latin Modern Sans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Projeto de Monitoria do Departamento de Estatística - 20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22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.2/20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23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.1 - Centro de Ciências Exatas e da Natureza – CCEN – Campus I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i/>
          <w:i/>
          <w:iCs/>
        </w:rPr>
      </w:pPr>
      <w:r>
        <w:rPr>
          <w:rFonts w:ascii="Latin Modern Sans" w:hAnsi="Latin Modern Sans"/>
          <w:b/>
          <w:bCs/>
          <w:i/>
          <w:iCs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Bolsista: Paulo Ricardo Seganfredo Campana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Orientador: Rodrigo Bernardo da Silva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Coordenador: Claudio Javier Tablada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Introdução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projeto de monitoria visa auxiliar aos alunos regularmente matriculados nas disciplinas de graduação ministradas pelo Departamento de Estatística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nos ques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tos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aumentar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os conhecimentos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adquiridos no curso e suas disciplinas, aten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endo as dificuldades ocorridas na absorção dos conteúdos teóricos e práticos vistos em sala de aula e melhorar a qualidade de ensino, diminuindo a quantidade de reprovações e desistências.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Uma grande fonte de tais dificuldades destas disciplinas iniciais do curso, como na disciplina de Probabilidade II, se dá pel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déficit de conhecimentos matemáticos básicos, que muitas vezes provém de um ensino médio precário que não prepara o aluno a discrepância entre o conteúdo mínimo exigido no ENEM e o que é necessário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ao ingressar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no ensino superior, em específico,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aos conteúdos de análise combinatória 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pré-cálculo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Com isso em mente, a monitoria alivia as dificuldades encontradas pelos discentes, promovendo sessões presenciais e remotas nos quais 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está disponível para tirar dúvidas, relembrar tópicos estudados e ajudar no entendimento e resolução de exercícios propostos pelo docente, colaborando para melhor qualidade de ensino e 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mínio do conteúdo da ementa da disciplina.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Nesta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troca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de conhecimento, além do benefício ao aprendizado do discente, também contribui para a formação 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construindo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experiência prática para área de ensino e fortalece o interesse a docência caso o mesmo queira seguir esta carreira acadêmica.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Metodologia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jc w:val="both"/>
        <w:rPr/>
      </w:pPr>
      <w:r>
        <w:rPr>
          <w:rFonts w:ascii="Latin Modern Sans" w:hAnsi="Latin Modern Sans"/>
          <w:b/>
          <w:bCs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Durante o período de monitoria da disciplina de Probabilidade II (Abril - Julho 2023) o suporte aos alunos matriculados foi realizado de diversas formas, podemos destacar três principais ferramentas de utilizadas: 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Latin Modern Sans" w:hAnsi="Latin Modern Sans"/>
          <w:b w:val="false"/>
          <w:bCs w:val="false"/>
          <w:sz w:val="24"/>
          <w:szCs w:val="24"/>
        </w:rPr>
        <w:t>Aulas de dúvidas presenciais que foram realizadas duas vezes por semana na sala de monitoria proporcionada pelo Departamento de Estatística, onde parte dos discentes estiveram presentes para expressar e serem solucionadas suas dificuldades com o aprendizado do conteúdo e exercícios propostos.</w:t>
      </w:r>
    </w:p>
    <w:p>
      <w:pPr>
        <w:pStyle w:val="Normal"/>
        <w:bidi w:val="0"/>
        <w:ind w:left="720" w:right="0" w:hanging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>Atendimento virtual por WhatsApp ou videochamada, que foi mais popular entre os alunos devido ao horário noturno em dias flexíveis, nestas sessões foram realizadas discussões acerca das atividades propostas e estudo dos conteúdos das avaliações.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Solução das listas de exercícios, de forma completa e detalhada. Estas lista</w:t>
      </w: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</w:t>
      </w: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de exercícios foram elaboradas pelo Prof. Rodrigo com base em questões oriundas de livros clássicos de Probabilidade, como, por exemplo, James (1996) e Magalhães (2006). Após a resolução da lista de exercícios, a mesma foi encaminhada para todos os discentes com intuito de ajudar no estudo para as avaliações, um ponto positivo deste formato é que o aluno pode estudar com calma essa resolução e com a garantia de atendimento do monitor caso ainda não entenda o conteúdo.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Resultados e discussões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 xml:space="preserve">Como um dos objetivos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projeto de monitoria é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aumentar a quantidade de alunos aprovados nas disciplinas e diminuir o índice de evasão do curso, podemos considerar esse objetivo alcançado, visto que todos os alunos que engajaram com as atividades da monitoria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obtiveram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aprovação, aos demais alunos, por mais que os esforços da monitoria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lhe alcançaram por meio das listas de exercícios respondidas passo a passo, optaram por não fazer todas as avaliações da disciplina e foram reprovados.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comparação com a última turma de Probabilidade II, onde não houve 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há um aumento na proporção de alunos aprovados de 30,77% a 40%,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comprovando a eficácia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 projeto em relação a aprovação geral.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Já para o quesito de ampliação do conhecimento teórico e prático,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os discentes ativos na disciplina demonstra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ram grande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satisfação com a disponibilidade de atendimento pessoal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 coletivo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em horário flexível pela internet, onde foi discutido diversos tópicos em Probabilidade relacionados aos exercícios propostos. Na área prática, foi elaborad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uma ferramenta na linguagem de programação R para o cálculo de esperanças e variâncias de diversas distribuições,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exemplificando a aplicação da Probabilidade.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>Sendo assim, houve amplas oportunidades de aprendizado para todos os discentes matriculados,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aqueles que ativamente participaram das atividades propostas na monitoria conquistaram sua aprovação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tudo isso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contribui para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absorção do conteúdo da disciplina 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para f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ormaçã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acadêmica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 aluno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. Para o monitor, foi uma grande experiência de ensino, compromisso, interação com a comunidade do curso e aprendizado sobre a docência.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Considerações finais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Tendo em vista os resultados do projeto de monitoria, vemos que ele é de natureza essencial para a melhora da qualidade de ensino, pois fortalece o entendimento mais profundo do assunto ministrado pelo docente aos alunos e apoia a redução 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número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reprovaçõ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mantendo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os discentes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focados no curso e diminuindo a evasão. Esse efeito é multiplicado quando levamos em conta que a disciplina de Probabilidade II,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além de ser uma disciplina desafiadora,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é uma das mais importantes no curso de Estatística pois é pré-requisito de diversas outras disciplinas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obrigatórias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 atua de maneira essencial na formação profissional.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Referências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8"/>
          <w:szCs w:val="28"/>
        </w:rPr>
      </w:pPr>
      <w:r>
        <w:rPr>
          <w:rFonts w:ascii="Latin Modern Sans" w:hAnsi="Latin Modern Sans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ascii="Latin Modern Sans" w:hAnsi="Latin Modern Sans"/>
          <w:b w:val="false"/>
          <w:bCs w:val="false"/>
          <w:sz w:val="24"/>
          <w:szCs w:val="24"/>
        </w:rPr>
        <w:t>JAMES, B.R. Probabilidade: Um curso em n</w:t>
      </w: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ível intermediário. Projeto Euclides. Editora IMPA. Rio de Janeiro. 2013.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Magalhães, M.N. Probabilidade e Variáveis Aleatórias. Editora Edusp, 3</w:t>
      </w: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vertAlign w:val="superscript"/>
          <w:lang w:val="pt-BR" w:eastAsia="zh-CN" w:bidi="hi-IN"/>
        </w:rPr>
        <w:t>a</w:t>
      </w: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 edição. São Paulo. 2015.</w:t>
      </w:r>
    </w:p>
    <w:p>
      <w:pPr>
        <w:pStyle w:val="Normal"/>
        <w:bidi w:val="0"/>
        <w:jc w:val="both"/>
        <w:rPr>
          <w:rFonts w:ascii="Latin Modern Sans" w:hAnsi="Latin Modern 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Latin Modern Sans" w:hAnsi="Latin Modern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Latin Modern Sans" w:hAnsi="Latin Modern Sans"/>
          <w:b w:val="false"/>
          <w:bCs w:val="false"/>
          <w:sz w:val="24"/>
          <w:szCs w:val="24"/>
        </w:rPr>
        <w:t>NASSER, L.; DE SOUSA, G. A.; TORRACA, M. A. A. Desempenho em cálculo: investigando a transição do ensino médio para o superior. Boletim GEPEM. Editora Cubo, 2017. Disponível em: &lt;</w:t>
      </w:r>
      <w:r>
        <w:rPr>
          <w:rStyle w:val="InternetLink"/>
          <w:rFonts w:ascii="Latin Modern Sans" w:hAnsi="Latin Modern Sans"/>
          <w:b w:val="false"/>
          <w:bCs w:val="false"/>
          <w:color w:val="000000"/>
          <w:sz w:val="24"/>
          <w:szCs w:val="24"/>
        </w:rPr>
        <w:t>http://dx.doi.org/10.4322/gepem.2017.020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&gt;. Acesso em: 3 set. 2023.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LibreOffice/7.3.7.2$Linux_X86_64 LibreOffice_project/30$Build-2</Application>
  <AppVersion>15.0000</AppVersion>
  <Pages>3</Pages>
  <Words>878</Words>
  <Characters>5023</Characters>
  <CharactersWithSpaces>5887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2023-09-01T18:26:34Z</dcterms:created>
  <dc:creator/>
  <dc:description/>
  <dc:language>en-GB</dc:language>
  <cp:lastModifiedBy/>
  <dcterms:modified xsi:type="dcterms:W3CDTF">2023-09-06T23:37:33Z</dcterms:modified>
  <cp:revision>15</cp:revision>
  <dc:subject/>
  <dc:title/>
</cp:coreProperties>
</file>