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Variância</w:t>
      </w:r>
    </w:p>
    <w:p>
      <w:pPr>
        <w:pStyle w:val="Author"/>
      </w:pPr>
      <w:r>
        <w:t xml:space="preserve">Paulo</w:t>
      </w:r>
      <w:r>
        <w:t xml:space="preserve"> </w:t>
      </w:r>
      <w:r>
        <w:t xml:space="preserve">Ricardo</w:t>
      </w:r>
      <w:r>
        <w:t xml:space="preserve"> </w:t>
      </w:r>
      <w:r>
        <w:t xml:space="preserve">Seganfredo</w:t>
      </w:r>
      <w:r>
        <w:t xml:space="preserve"> </w:t>
      </w:r>
      <w:r>
        <w:t xml:space="preserve">Campana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</w:t>
      </w:r>
      <w:r>
        <w:t xml:space="preserve"> </w:t>
      </w: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Problem 3.6</w:t>
            </w:r>
            <w:r>
              <w:t xml:space="preserve">. An article in Bioelectromagnetics (</w:t>
            </w:r>
            <w:r>
              <w:t xml:space="preserve">“</w:t>
            </w:r>
            <w:r>
              <w:t xml:space="preserve">Electromagnetic Effects on Forearm Disuse Osteopenia: A Randomized, Double-Blind, Sham-Controlled Study</w:t>
            </w:r>
            <w:r>
              <w:t xml:space="preserve">”</w:t>
            </w:r>
            <w:r>
              <w:t xml:space="preserve">, Vol. 32, 2011, pp. 273-282) described a randomized, double-blind, sham-controlled, feasibility and dosing study to determine if a common pulsing electromagnetic field (PEMF) treatment could moderate the substantial osteopenia that occurs after forearm disuse. Subjects were randomized into four groups after a distal radius fracture, or carpal surgery requiring immobilization in a cast. Active or identical sham PEMF transducers were worn on the distal forearm for 1, 2, or 4h/day for 8 weeks starting after cast removal (</w:t>
            </w:r>
            <w:r>
              <w:t xml:space="preserve">“</w:t>
            </w:r>
            <w:r>
              <w:t xml:space="preserve">baseline</w:t>
            </w:r>
            <w:r>
              <w:t xml:space="preserve">”</w:t>
            </w:r>
            <w:r>
              <w:t xml:space="preserve">) when bone density continues to decline. Bone mineral density (BMD) and bone geometry were measured in the distal forearm by</w:t>
            </w:r>
            <w:r>
              <w:t xml:space="preserve"> </w:t>
            </w:r>
            <w:r>
              <w:t xml:space="preserve">dual energy X-ray absorptiometry (DXA) and peripheral quantitative computed tomography (pQCT). The data below are the percent losses in BMD measurements on the radius</w:t>
            </w:r>
            <w:r>
              <w:t xml:space="preserve"> </w:t>
            </w:r>
            <w:r>
              <w:t xml:space="preserve">after 16 weeks for patients wearing the active or sham PEMF transducers for 1, 2, or 4h/day (data were constructed to match the means and standard deviations read from a graph in the paper).</w:t>
            </w:r>
          </w:p>
          <w:p>
            <w:pPr>
              <w:pStyle w:val="BodyText"/>
            </w:pPr>
            <w:r>
              <w:t xml:space="preserve">Is there evidence to support a claim that PEMF usage affects BMD loss?</w:t>
            </w:r>
            <w:r>
              <w:t xml:space="preserve"> 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, </w:t>
      </w:r>
      <w:r>
        <w:rPr>
          <w:rStyle w:val="FloatTok"/>
        </w:rPr>
        <w:t xml:space="preserve">7.97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7.19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5.85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5.32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, </w:t>
      </w:r>
      <w:r>
        <w:rPr>
          <w:rStyle w:val="FloatTok"/>
        </w:rPr>
        <w:t xml:space="preserve">5.12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8.47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5.89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3.28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5.46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7.03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4.54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7.91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r>
        <w:br w:type="page"/>
      </w:r>
    </w:p>
    <w:bookmarkStart w:id="20" w:name="teoria-anova"/>
    <w:p>
      <w:pPr>
        <w:pStyle w:val="Heading1"/>
      </w:pPr>
      <w:r>
        <w:t xml:space="preserve">Teoria ANOVA</w:t>
      </w:r>
    </w:p>
    <w:p>
      <w:pPr>
        <w:pStyle w:val="FirstParagraph"/>
      </w:pPr>
      <w:r>
        <w:t xml:space="preserve">Os dados acima referem a queda em percentual da densidade mineral dos ossos de pacientes com certa doença óssea após usarem um aparelho eletrônico que possivelmente poderia combater os sintomas da doença. 3 grupos de pacientes usaram o aparelho por 1, 2 e 4 horas por dia, e o grupo de controle utilizou um aparelho que não funciona, fazendo papel de placebo. Queremos testar se o aparelho ajuda a diminuir a queda da densidade mineral dos ossos.</w:t>
      </w:r>
    </w:p>
    <w:p>
      <w:pPr>
        <w:pStyle w:val="BodyText"/>
      </w:pPr>
      <w:r>
        <w:t xml:space="preserve">Temos 4 grupos com 20 observações cada e iremos realizar uma análise de variância (anova) para testar se há diferença na variável medida entre os grupos.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τ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r>
            <m:t>ε</m:t>
          </m:r>
          <m:r>
            <m:t>i</m:t>
          </m:r>
          <m:r>
            <m:t>j</m:t>
          </m:r>
        </m:oMath>
      </m:oMathPara>
    </w:p>
    <w:p>
      <w:pPr>
        <w:pStyle w:val="FirstParagraph"/>
      </w:pPr>
      <w:r>
        <w:t xml:space="preserve">Seja o índice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referente as observações e o índice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}</m:t>
        </m:r>
      </m:oMath>
      <w:r>
        <w:t xml:space="preserve"> </w:t>
      </w:r>
      <w:r>
        <w:t xml:space="preserve">sobre os grupos. A anova se baseia em decompor cada observação da variável medida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em uma média global</w:t>
      </w:r>
      <w:r>
        <w:t xml:space="preserve"> </w:t>
      </w:r>
      <m:oMath>
        <m:r>
          <m:t>μ</m:t>
        </m:r>
      </m:oMath>
      <w:r>
        <w:t xml:space="preserve">, uma mudança de média entre os grupos</w:t>
      </w:r>
      <w:r>
        <w:t xml:space="preserve"> </w:t>
      </w:r>
      <m:oMath>
        <m:sSub>
          <m:e>
            <m:r>
              <m:t>τ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 um erro normal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assim podemos escrever as hipóteses do teste: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≠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para algum</m:t>
                    </m:r>
                    <m:r>
                      <m:t> </m:t>
                    </m:r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q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para algum</m:t>
                    </m:r>
                    <m:r>
                      <m:t> </m:t>
                    </m:r>
                    <m:r>
                      <m:t>j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Com os dados em mão, é possível estimarmos estes componentes: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m:oMathPara>
              <m:oMathParaPr>
                <m:jc m:val="center"/>
              </m:oMathParaPr>
              <m:oMath>
                <m:r>
                  <m:t>n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g</m:t>
                    </m:r>
                  </m:sup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/>
          <w:p>
            <w:pPr>
              <w:jc w:val="center"/>
            </w:pPr>
            <m:oMathPara>
              <m:oMathParaPr>
                <m:jc m:val="center"/>
              </m:oMathParaPr>
              <m:oMath>
                <m:r>
                  <m:t>μ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g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sup>
                      <m:e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/>
          <w:p>
            <w:pPr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μ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sup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/>
          <w:p>
            <w:pPr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τ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μ</m:t>
                </m:r>
              </m:oMath>
            </m:oMathPara>
          </w:p>
        </w:tc>
      </w:tr>
    </w:tbl>
    <w:p>
      <w:pPr>
        <w:pStyle w:val="FirstParagraph"/>
      </w:pPr>
      <w:r>
        <w:t xml:space="preserve">Da mesma forma, podemos decompor a soma de quadrados total</w:t>
      </w:r>
      <w:r>
        <w:t xml:space="preserve"> </w:t>
      </w:r>
      <m:oMath>
        <m:sSub>
          <m:e>
            <m:r>
              <m:rPr>
                <m:nor/>
                <m:sty m:val="p"/>
              </m:rPr>
              <m:t>SS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na soma de quadrados devido aos grupos</w:t>
      </w:r>
      <w:r>
        <w:t xml:space="preserve"> </w:t>
      </w:r>
      <m:oMath>
        <m:sSub>
          <m:e>
            <m:r>
              <m:rPr>
                <m:nor/>
                <m:sty m:val="p"/>
              </m:rPr>
              <m:t>SS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e devido aos erros</w:t>
      </w:r>
      <w:r>
        <w:t xml:space="preserve"> </w:t>
      </w:r>
      <m:oMath>
        <m:sSub>
          <m:e>
            <m:r>
              <m:rPr>
                <m:nor/>
                <m:sty m:val="p"/>
              </m:rPr>
              <m:t>SS</m:t>
            </m:r>
          </m:e>
          <m:sub>
            <m:r>
              <m:t>E</m:t>
            </m:r>
          </m:sub>
        </m:sSub>
      </m:oMath>
      <w:r>
        <w:t xml:space="preserve">, estas somas de quadrados irão representar a variância devido a cada componente depois que dividirmos pelos graus de liberdade de cada um.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g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sup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y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  <m: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t> </m:t>
              </m:r>
              <m:r>
                <m:rPr>
                  <m:nor/>
                  <m:sty m:val="p"/>
                </m:rPr>
                <m:t>graus</m:t>
              </m:r>
            </m:lim>
          </m:limLow>
          <m:r>
            <m:rPr>
              <m:sty m:val="p"/>
            </m:rPr>
            <m:t>=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g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sup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μ</m:t>
                                      </m:r>
                                    </m:e>
                                    <m:sub>
                                      <m: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g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t> </m:t>
              </m:r>
              <m:r>
                <m:rPr>
                  <m:nor/>
                  <m:sty m:val="p"/>
                </m:rPr>
                <m:t>graus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g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sup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y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  <m: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b>
                                    <m:e>
                                      <m:r>
                                        <m:t>μ</m:t>
                                      </m:r>
                                    </m:e>
                                    <m:sub>
                                      <m: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E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g</m:t>
              </m:r>
              <m:r>
                <m:t> </m:t>
              </m:r>
              <m:r>
                <m:rPr>
                  <m:nor/>
                  <m:sty m:val="p"/>
                </m:rPr>
                <m:t>graus</m:t>
              </m:r>
            </m:lim>
          </m:limLow>
        </m:oMath>
      </m:oMathPara>
    </w:p>
    <w:p>
      <w:pPr>
        <w:pStyle w:val="FirstParagraph"/>
      </w:pPr>
      <w:r>
        <w:t xml:space="preserve">Se a maior parte da soma dos quadrados totais é explicada pela soma devido aos grupos e menos pela soma devido aos erros, então temos que a diferença entre os grupos é significante e podemos rejeitar a hipótese nula, assim a estatística do teste é: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/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E</m:t>
                  </m:r>
                </m:sub>
              </m:sSub>
              <m:r>
                <m:rPr>
                  <m:sty m:val="p"/>
                </m:rPr>
                <m:t>/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</m:den>
          </m:f>
          <m:r>
            <m:rPr>
              <m:sty m:val="p"/>
            </m:rPr>
            <m:t>∼</m:t>
          </m:r>
          <m:sSub>
            <m:e>
              <m:r>
                <m:rPr>
                  <m:sty m:val="p"/>
                  <m:scr m:val="script"/>
                </m:rPr>
                <m:t>F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</m:sub>
          </m:sSub>
        </m:oMath>
      </m:oMathPara>
    </w:p>
    <w:p>
      <w:pPr>
        <w:pStyle w:val="FirstParagraph"/>
      </w:pPr>
      <w:r>
        <w:t xml:space="preserve">Que tem distribuição F-Snedecor, rejeitamos a hipótese nula se a estatística F ultrapassa o quantil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F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g</m:t>
                </m:r>
              </m:e>
            </m:d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</m:oMath>
      <w:r>
        <w:t xml:space="preserve">.</w:t>
      </w:r>
    </w:p>
    <w:p>
      <w:r>
        <w:br w:type="page"/>
      </w:r>
    </w:p>
    <w:bookmarkEnd w:id="20"/>
    <w:bookmarkStart w:id="21" w:name="teste-no-r"/>
    <w:p>
      <w:pPr>
        <w:pStyle w:val="Heading1"/>
      </w:pPr>
      <w:r>
        <w:t xml:space="preserve">Teste no R</w:t>
      </w:r>
    </w:p>
    <w:p>
      <w:pPr>
        <w:pStyle w:val="FirstParagraph"/>
      </w:pPr>
      <w:r>
        <w:t xml:space="preserve">Com os dados em duas colunas: a variável medida e a qual grupo ela pertence, seja o nível se significância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vamos primeiro estimar a média geral e a média de cada grupo.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hours))                       </w:t>
      </w: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                                </w:t>
      </w:r>
      <w:r>
        <w:rPr>
          <w:rStyle w:val="CommentTok"/>
        </w:rPr>
        <w:t xml:space="preserve"># 80</w:t>
      </w:r>
      <w:r>
        <w:br/>
      </w:r>
      <w:r>
        <w:rPr>
          <w:rStyle w:val="NormalTok"/>
        </w:rPr>
        <w:t xml:space="preserve">nj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hours)                               </w:t>
      </w:r>
      <w:r>
        <w:rPr>
          <w:rStyle w:val="CommentTok"/>
        </w:rPr>
        <w:t xml:space="preserve"># 20, 20, 20, 20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loss)                                 </w:t>
      </w:r>
      <w:r>
        <w:rPr>
          <w:rStyle w:val="CommentTok"/>
        </w:rPr>
        <w:t xml:space="preserve"># 5.91</w:t>
      </w:r>
      <w:r>
        <w:br/>
      </w:r>
      <w:r>
        <w:rPr>
          <w:rStyle w:val="NormalTok"/>
        </w:rPr>
        <w:t xml:space="preserve">muj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 mean)            </w:t>
      </w:r>
      <w:r>
        <w:rPr>
          <w:rStyle w:val="CommentTok"/>
        </w:rPr>
        <w:t xml:space="preserve"># 5.67, 6.16, 5.47, 6.35</w:t>
      </w:r>
    </w:p>
    <w:p>
      <w:pPr>
        <w:pStyle w:val="FirstParagraph"/>
      </w:pPr>
      <w:r>
        <w:t xml:space="preserve">As somas de quadrados.</w:t>
      </w:r>
    </w:p>
    <w:p>
      <w:pPr>
        <w:pStyle w:val="SourceCode"/>
      </w:pP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     </w:t>
      </w:r>
      <w:r>
        <w:rPr>
          <w:rStyle w:val="CommentTok"/>
        </w:rPr>
        <w:t xml:space="preserve"># 206.1</w:t>
      </w:r>
      <w:r>
        <w:br/>
      </w:r>
      <w:r>
        <w:rPr>
          <w:rStyle w:val="NormalTok"/>
        </w:rPr>
        <w:t xml:space="preserve">SSG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(muj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mu, nj[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 10.1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(muj,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196.0</w:t>
      </w:r>
    </w:p>
    <w:p>
      <w:pPr>
        <w:pStyle w:val="FirstParagraph"/>
      </w:pPr>
      <w:r>
        <w:t xml:space="preserve">A estatística do teste, quantil da distribuição e p-valor.</w:t>
      </w:r>
    </w:p>
    <w:p>
      <w:pPr>
        <w:pStyle w:val="SourceCode"/>
      </w:pPr>
      <w:r>
        <w:rPr>
          <w:rStyle w:val="NormalTok"/>
        </w:rPr>
        <w:t xml:space="preserve">gl1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(SSG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gl1)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gl2)                        </w:t>
      </w:r>
      <w:r>
        <w:rPr>
          <w:rStyle w:val="CommentTok"/>
        </w:rPr>
        <w:t xml:space="preserve"># 1.298</w:t>
      </w:r>
      <w:r>
        <w:br/>
      </w:r>
      <w:r>
        <w:rPr>
          <w:rStyle w:val="NormalTok"/>
        </w:rPr>
        <w:t xml:space="preserve">quantil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gl1, gl2)                    </w:t>
      </w:r>
      <w:r>
        <w:rPr>
          <w:rStyle w:val="CommentTok"/>
        </w:rPr>
        <w:t xml:space="preserve"># 2.725</w:t>
      </w:r>
      <w:r>
        <w:br/>
      </w:r>
      <w:r>
        <w:rPr>
          <w:rStyle w:val="NormalTok"/>
        </w:rPr>
        <w:t xml:space="preserve">pvalor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(F, gl1, gl2,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0.281</w:t>
      </w:r>
    </w:p>
    <w:p>
      <w:pPr>
        <w:pStyle w:val="FirstParagraph"/>
      </w:pPr>
      <w:r>
        <w:t xml:space="preserve">Como a estatística do teste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1.298</m:t>
        </m:r>
      </m:oMath>
      <w:r>
        <w:t xml:space="preserve"> </w:t>
      </w:r>
      <w:r>
        <w:t xml:space="preserve">não é mais extrema que o quantil da distribuição</w:t>
      </w:r>
      <w:r>
        <w:t xml:space="preserve"> </w:t>
      </w:r>
      <m:oMath>
        <m:r>
          <m:rPr>
            <m:sty m:val="p"/>
            <m:scr m:val="script"/>
          </m:rPr>
          <m:t>F</m:t>
        </m:r>
        <m:r>
          <m:rPr>
            <m:sty m:val="p"/>
          </m:rPr>
          <m:t>=</m:t>
        </m:r>
        <m:r>
          <m:t>2.725</m:t>
        </m:r>
      </m:oMath>
      <w:r>
        <w:t xml:space="preserve">, não há evidências para rejeitar a hipótese de que os grupos são iguais, ou seja, o aparelho não parece fazer efeito na redução da perda da densidade mineral dos ossos dos pacientes.</w:t>
      </w:r>
    </w:p>
    <w:p>
      <w:pPr>
        <w:pStyle w:val="BodyText"/>
      </w:pPr>
      <w:r>
        <w:t xml:space="preserve">Alternativamente, a função anova do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trás as mesmas somas de quadrados, estatística do teste e p-valor.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hours,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br w:type="page"/>
      </w:r>
    </w:p>
    <w:bookmarkEnd w:id="21"/>
    <w:bookmarkStart w:id="22" w:name="comparações-múltiplas"/>
    <w:p>
      <w:pPr>
        <w:pStyle w:val="Heading1"/>
      </w:pPr>
      <w:r>
        <w:t xml:space="preserve">Comparações múltiplas</w:t>
      </w:r>
    </w:p>
    <w:p>
      <w:pPr>
        <w:pStyle w:val="FirstParagraph"/>
      </w:pPr>
      <w:r>
        <w:t xml:space="preserve">Como o teste ANOVA deu que as diferenças entre os tratamentos e o</w:t>
      </w:r>
      <w:r>
        <w:t xml:space="preserve"> </w:t>
      </w:r>
      <w:r>
        <w:t xml:space="preserve">“</w:t>
      </w:r>
      <w:r>
        <w:t xml:space="preserve">placebo</w:t>
      </w:r>
      <w:r>
        <w:t xml:space="preserve">”</w:t>
      </w:r>
      <w:r>
        <w:t xml:space="preserve"> </w:t>
      </w:r>
      <w:r>
        <w:t xml:space="preserve">não foram estatísticamente significantes, não é necessário efetuar as comparações múltiplas, pois a diferenças entre quaisquer subgrupos também não serão significantes, mesmo assim vamos fazer para praticar.</w:t>
      </w:r>
    </w:p>
    <w:p>
      <w:pPr>
        <w:pStyle w:val="BodyText"/>
      </w:pPr>
      <w:r>
        <w:t xml:space="preserve">Como é um caso onde temos um grupo de controle, faz sentido comparações múltiplas simples entre cada grupo de tratamento com o grupo de controle, ou seja testar as hipóteses: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≠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t>  </m:t>
          </m:r>
          <m:r>
            <m:t>  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≠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t>  </m:t>
          </m:r>
          <m:r>
            <m:t>  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≠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Existem vários testes de comparações multiplas, para o caso de grupos de controle vou utilizar o teste de Dunnett, neste teste a hipótese nula é rejeitada se: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&gt;</m:t>
          </m:r>
          <m:sSub>
            <m:e>
              <m:r>
                <m:t>d</m:t>
              </m:r>
            </m:e>
            <m:sub>
              <m:r>
                <m:t>α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rPr>
                          <m:nor/>
                          <m:sty m:val="p"/>
                        </m:rPr>
                        <m:t>SS</m:t>
                      </m:r>
                    </m:e>
                    <m:sub>
                      <m:r>
                        <m:t>E</m:t>
                      </m:r>
                    </m:sub>
                  </m:sSub>
                </m:num>
                <m:den>
                  <m:r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</m:e>
          </m:rad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  <m:r>
            <m:t>g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sSub>
          <m:e>
            <m:r>
              <m:t>d</m:t>
            </m:r>
          </m:e>
          <m:sub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g</m:t>
            </m:r>
          </m:e>
        </m:d>
      </m:oMath>
      <w:r>
        <w:t xml:space="preserve"> </w:t>
      </w:r>
      <w:r>
        <w:t xml:space="preserve">é o quantil de probabilidade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da distribuição do teste de Dunnett tabelada no apéncide VIII do livro. Para</w:t>
      </w:r>
      <w:r>
        <w:t xml:space="preserve"> </w:t>
      </w:r>
      <m:oMath>
        <m:r>
          <m:t>g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g</m:t>
        </m:r>
        <m:r>
          <m:rPr>
            <m:sty m:val="p"/>
          </m:rPr>
          <m:t>=</m:t>
        </m:r>
        <m:r>
          <m:t>76</m:t>
        </m:r>
      </m:oMath>
      <w:r>
        <w:t xml:space="preserve"> </w:t>
      </w:r>
      <w:r>
        <w:t xml:space="preserve">com um nível de significancia de 5%, este quantil é aproximadamente 2.39 e como todos os grupos tem mesmo tamanho de amostra, a parte direita da inequação, o valor crítico dos testes, é constante.</w:t>
      </w:r>
    </w:p>
    <w:p>
      <w:pPr>
        <w:pStyle w:val="SourceCode"/>
      </w:pPr>
      <w:r>
        <w:rPr>
          <w:rStyle w:val="NormalTok"/>
        </w:rPr>
        <w:t xml:space="preserve">crítico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gl2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nj[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1.214</w:t>
      </w:r>
      <w:r>
        <w:br/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(muj[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0.493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(muj[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0.195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(muj[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0.678</w:t>
      </w:r>
    </w:p>
    <w:p>
      <w:pPr>
        <w:pStyle w:val="FirstParagraph"/>
      </w:pPr>
      <w:r>
        <w:t xml:space="preserve">A diferença absoluta de médias entre os tratamentos e o grupo controle são todas abaixo do valor crítico do teste como esperado, ou seja não há diferença estatísticamente significante nos tratamentos como esperado.</w:t>
      </w:r>
    </w:p>
    <w:p>
      <w:pPr>
        <w:pStyle w:val="BodyText"/>
      </w:pPr>
      <w:r>
        <w:t xml:space="preserve">Com a função deste teste no pacote</w:t>
      </w:r>
      <w:r>
        <w:t xml:space="preserve"> </w:t>
      </w:r>
      <w:r>
        <w:rPr>
          <w:rStyle w:val="VerbatimChar"/>
        </w:rPr>
        <w:t xml:space="preserve">DescTools</w:t>
      </w:r>
      <w:r>
        <w:t xml:space="preserve">, podemos ver também intervalos de confiança para a diferenças dos tratamentos com o controle e o p-valor do teste:</w:t>
      </w:r>
    </w:p>
    <w:p>
      <w:pPr>
        <w:pStyle w:val="SourceCode"/>
      </w:pPr>
      <w:r>
        <w:rPr>
          <w:rStyle w:val="NormalTok"/>
        </w:rPr>
        <w:t xml:space="preserve">DescTools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DunnettTest</w:t>
      </w:r>
      <w:r>
        <w:rPr>
          <w:rStyle w:val="NormalTok"/>
        </w:rPr>
        <w:t xml:space="preserve">(loss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hours, data)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lwr.ci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upr.ci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pval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0.4048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1</dc:title>
  <dc:creator>Paulo Ricardo Seganfredo Campana</dc:creator>
  <dc:language>pt</dc:language>
  <cp:keywords/>
  <dcterms:created xsi:type="dcterms:W3CDTF">2024-03-06T01:24:50Z</dcterms:created>
  <dcterms:modified xsi:type="dcterms:W3CDTF">2024-03-06T01:24:50Z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-icon">
    <vt:lpwstr>False</vt:lpwstr>
  </property>
  <property fmtid="{D5CDD505-2E9C-101B-9397-08002B2CF9AE}" pid="6" name="date">
    <vt:lpwstr>5 de março de 2024</vt:lpwstr>
  </property>
  <property fmtid="{D5CDD505-2E9C-101B-9397-08002B2CF9AE}" pid="7" name="date-format">
    <vt:lpwstr>long</vt:lpwstr>
  </property>
  <property fmtid="{D5CDD505-2E9C-101B-9397-08002B2CF9AE}" pid="8" name="geometry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onofont">
    <vt:lpwstr>Ubuntu Mono</vt:lpwstr>
  </property>
  <property fmtid="{D5CDD505-2E9C-101B-9397-08002B2CF9AE}" pid="14" name="monofontoptions">
    <vt:lpwstr>Scale = 1</vt:lpwstr>
  </property>
  <property fmtid="{D5CDD505-2E9C-101B-9397-08002B2CF9AE}" pid="15" name="subtitle">
    <vt:lpwstr>Análise de Variância</vt:lpwstr>
  </property>
  <property fmtid="{D5CDD505-2E9C-101B-9397-08002B2CF9AE}" pid="16" name="toc-title">
    <vt:lpwstr>Índice</vt:lpwstr>
  </property>
</Properties>
</file>