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E5E8" w14:textId="77777777" w:rsidR="005351E4" w:rsidRPr="005351E4" w:rsidRDefault="005351E4" w:rsidP="005351E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EA6A28" w14:textId="0076BB53" w:rsidR="00CE2D89" w:rsidRPr="005351E4" w:rsidRDefault="005351E4" w:rsidP="005351E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1E4">
        <w:rPr>
          <w:rFonts w:ascii="Times New Roman" w:hAnsi="Times New Roman" w:cs="Times New Roman"/>
          <w:b/>
          <w:sz w:val="24"/>
          <w:szCs w:val="24"/>
        </w:rPr>
        <w:t xml:space="preserve">SISTEMA DE GESTÃO DO CUSTO ALUNO QUALIDADE - </w:t>
      </w:r>
      <w:r w:rsidR="00000000" w:rsidRPr="005351E4">
        <w:rPr>
          <w:rFonts w:ascii="Times New Roman" w:hAnsi="Times New Roman" w:cs="Times New Roman"/>
          <w:b/>
          <w:sz w:val="24"/>
          <w:szCs w:val="24"/>
        </w:rPr>
        <w:t xml:space="preserve"> (CAQ/CAQi)</w:t>
      </w:r>
    </w:p>
    <w:p w14:paraId="4FD58E3E" w14:textId="77777777" w:rsidR="005351E4" w:rsidRPr="005351E4" w:rsidRDefault="005351E4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73EA6" w14:textId="77777777" w:rsidR="00CE2D89" w:rsidRPr="005351E4" w:rsidRDefault="00CE2D89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B3009" w14:textId="5A5C3576" w:rsidR="00CE2D89" w:rsidRPr="005351E4" w:rsidRDefault="006137DB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PROJETO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5351E4">
        <w:rPr>
          <w:rFonts w:ascii="Times New Roman" w:hAnsi="Times New Roman" w:cs="Times New Roman"/>
          <w:sz w:val="24"/>
          <w:szCs w:val="24"/>
        </w:rPr>
        <w:t>CAQi, seus fundamentos legais, atributos, funcionalidades, módulos e cronograma. Use-o como norte para desenho de módulos, fluxos, relatórios e integrações.</w:t>
      </w:r>
    </w:p>
    <w:p w14:paraId="6DDE98EA" w14:textId="77777777" w:rsidR="00CE2D89" w:rsidRPr="005351E4" w:rsidRDefault="00CE2D89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9D4C6F" w14:textId="77777777" w:rsidR="00CE2D89" w:rsidRPr="005351E4" w:rsidRDefault="00000000" w:rsidP="005351E4">
      <w:pPr>
        <w:pStyle w:val="Ttulo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Persona técnica</w:t>
      </w:r>
    </w:p>
    <w:p w14:paraId="1E919252" w14:textId="77777777" w:rsidR="005351E4" w:rsidRPr="005351E4" w:rsidRDefault="005351E4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A08E1" w14:textId="3605FB97" w:rsidR="00CE2D89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Sua missão é especificar e construir um sistema SaaS, seguro e auditável, para gestão completa do CAQ/CAQi, plenamente aderente às leis brasileiras aplicáveis e às boas práticas de governança pública.</w:t>
      </w:r>
    </w:p>
    <w:p w14:paraId="48D2BF51" w14:textId="77777777" w:rsidR="005351E4" w:rsidRPr="005351E4" w:rsidRDefault="005351E4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836F4F" w14:textId="6C4CDCD0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Objetivo de negócio (definição de sucesso)</w:t>
      </w:r>
    </w:p>
    <w:p w14:paraId="107825BF" w14:textId="77777777" w:rsidR="005351E4" w:rsidRPr="005351E4" w:rsidRDefault="005351E4" w:rsidP="005351E4">
      <w:pPr>
        <w:spacing w:after="0" w:line="240" w:lineRule="auto"/>
      </w:pPr>
    </w:p>
    <w:p w14:paraId="4F522628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Mensurar, planejar e executar o Custo Aluno Qualidade (CAQ/CAQi) por etapa e modalidade da educação básica (urbana/rural, tempo parcial/integral, Educação Especial), vinculando insumos‑padrão (infraestrutura, equipamentos, materiais, pessoal, serviços, manutenção) a valores por aluno/ano e ao orçamento MDE/Fundeb.</w:t>
      </w:r>
    </w:p>
    <w:p w14:paraId="1D8E9B0F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Controlar conformidade legal (MDE, Fundeb, compras e contratos, transparência/LAI, contabilidade/MCASP, proteção de dados/LGPD, SIAFIC) e prover evidências para controle interno/externo (CME, CACS‑Fundeb, TCE/TCU, MP).</w:t>
      </w:r>
    </w:p>
    <w:p w14:paraId="2072A9DC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009DF40" w14:textId="77777777" w:rsidR="005351E4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 xml:space="preserve">Constituição </w:t>
      </w:r>
      <w:r w:rsidR="005351E4" w:rsidRPr="005351E4">
        <w:rPr>
          <w:rFonts w:ascii="Times New Roman" w:hAnsi="Times New Roman" w:cs="Times New Roman"/>
          <w:color w:val="auto"/>
          <w:sz w:val="24"/>
          <w:szCs w:val="24"/>
        </w:rPr>
        <w:t>Fundamentos legais obrigatórios (requisitos de compliance)</w:t>
      </w:r>
    </w:p>
    <w:p w14:paraId="15C642F0" w14:textId="77777777" w:rsidR="005351E4" w:rsidRPr="005351E4" w:rsidRDefault="005351E4" w:rsidP="005351E4">
      <w:pPr>
        <w:spacing w:after="0" w:line="240" w:lineRule="auto"/>
      </w:pPr>
    </w:p>
    <w:p w14:paraId="4C01DAF9" w14:textId="7202BCDD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Federal (CF/88): arts. 205 e 206 (direito à educação e princípios do ensino); art. 212 (mínimo de 25% para MDE nos municípios); art. 212‑A (Fundeb permanente).</w:t>
      </w:r>
    </w:p>
    <w:p w14:paraId="7E3A64D6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de Diretrizes e Bases da Educação (LDB 9.394/1996): arts. 4º, 74 e 75 — padrão de qualidade e planejamento de insumos de ensino.</w:t>
      </w:r>
    </w:p>
    <w:p w14:paraId="213B698B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Plano Nacional de Educação (Lei 13.005/2014): Meta 20 — CAQ/CAQi como referência de financiamento e qualidade.</w:t>
      </w:r>
    </w:p>
    <w:p w14:paraId="7F4CC073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14.113/2020 (Novo Fundeb): regras de destinação, inclusive ≥70% para remuneração dos profissionais da educação básica em efetivo exercício; ≥15% da complementação‑VAAT em despesa de capital; condicionalidades VAAR.</w:t>
      </w:r>
    </w:p>
    <w:p w14:paraId="3E7FFC81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de Responsabilidade Fiscal (LC 101/2000), art. 48‑A: transparência em tempo real.</w:t>
      </w:r>
    </w:p>
    <w:p w14:paraId="4F06BD19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de Acesso à Informação (Lei 12.527/2011): transparência ativa e passiva.</w:t>
      </w:r>
    </w:p>
    <w:p w14:paraId="509158EC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Decreto 10.540/2020 (SIAFIC) e manuais STN (MCASP/MDF): aderir ao PCASP, demonstrações e requisitos mínimos do sistema contábil público.</w:t>
      </w:r>
    </w:p>
    <w:p w14:paraId="730D44B3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14.133/2021 (Licitações e Contratos): planejamento da contratação, matriz de risco, execução contratual e aditivos; integração PNCP.</w:t>
      </w:r>
    </w:p>
    <w:p w14:paraId="5F11879A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13.709/2018 (LGPD) e Marco Civil da Internet (Lei 12.965/2014): governança de dados pessoais (alunos, responsáveis, servidores), base legal de tratamento, direitos do titular, registro de atividades, DPO.</w:t>
      </w:r>
    </w:p>
    <w:p w14:paraId="3E8C1376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lastRenderedPageBreak/>
        <w:t>SIOPE (FNDE): envio/validação periódica e bloqueios por inadimplência; integração e consistência dos dados.</w:t>
      </w:r>
    </w:p>
    <w:p w14:paraId="1ED35AA7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Simples Nacional (LC 123/2006 e Resolução CGSN 140/2018): regras de retenções na fonte e tratamento diferenciado para optantes em compras/contratos.</w:t>
      </w:r>
    </w:p>
    <w:p w14:paraId="1744DAFA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D4988C5" w14:textId="518509A6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Escopo funcional — módulos obrigatórios</w:t>
      </w:r>
    </w:p>
    <w:p w14:paraId="30F8BD5B" w14:textId="77777777" w:rsidR="005351E4" w:rsidRPr="005351E4" w:rsidRDefault="005351E4" w:rsidP="005351E4">
      <w:pPr>
        <w:spacing w:after="0" w:line="240" w:lineRule="auto"/>
      </w:pPr>
    </w:p>
    <w:p w14:paraId="7910A7B5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1. Catálogo de Insumos CAQ/CAQi: parametrização por etapa/modalidade (creche parcial/integral, pré‑escola, EF anos iniciais/finais, EJA, Educação Especial, campo/indígena, urbana) e por rede/escola; quantidades‑padrão (alunos/turma, relação aluno‑professor, carga horária, bibliotecas, laboratórios, quadras, TI, mobiliário, manutenção, formação continuada, materiais didáticos, serviços). Saídas: valor/aluno/ano por etapa e gap entre executado vs. requerido (CAQi vs. CAQ).</w:t>
      </w:r>
    </w:p>
    <w:p w14:paraId="0EFEC929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2. Orçamento MDE/Fundeb: classificação por fonte (própria, transferências; Fundeb: VAAF, VAAT, VAAR), subação e natureza; regras 70% remuneração e 15% capital (VAAT) com travas de empenho/pagamento.</w:t>
      </w:r>
    </w:p>
    <w:p w14:paraId="5F77EDDA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3. SIOPE Connector: ETL para coleta, validação, reconciliação e pré‑preenchimento; painel de situação/pendências e evidências para validação pelo CACS‑Fundeb.</w:t>
      </w:r>
    </w:p>
    <w:p w14:paraId="16ECBABC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4. Contabilidade Pública (SIAFIC/PCASP): integração nativa com o SIAFIC municipal; espelho PCASP; geração automática de DCASP e arquivos para Siconfi/TCE.</w:t>
      </w:r>
    </w:p>
    <w:p w14:paraId="12C47F6A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5. Compras e Contratos (Lei 14.133/2021): planejamento (ETP, TR, matriz de risco), modalidades (pregão/concorrência/diálogo competitivo), execução, medição, reequilíbrio, penalidades; integração PNCP.</w:t>
      </w:r>
    </w:p>
    <w:p w14:paraId="1758B311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6. Pessoal e Folha (Educação): cargos, carga horária, comprovação de efetivo exercício; cálculo de 70% Fundeb; simulações de impacto salarial/pisos e carreiras.</w:t>
      </w:r>
    </w:p>
    <w:p w14:paraId="40DA5770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7. Escolas (Gestão Escolar/Operacional): matrículas, turmas, frequência, censo escolar, merenda (PNAE), transporte (PNATE), patrimônio, manutenção preventiva/corretiva.</w:t>
      </w:r>
    </w:p>
    <w:p w14:paraId="13592960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8. Transparência/LAI e Controle Social: portal (tempo real, dados abertos, API pública), painel para CACS‑Fundeb e CME com trilhas de auditoria e pareceres.</w:t>
      </w:r>
    </w:p>
    <w:p w14:paraId="5E94F880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9. Fiscal/Tributário aplicado: motor de retenções (IRRF, INSS, ISS, PIS/Cofins/CSLL) com regras para optantes do Simples Nacional; editais/contratos em conformidade.</w:t>
      </w:r>
    </w:p>
    <w:p w14:paraId="140E4249" w14:textId="77777777" w:rsidR="00CE2D89" w:rsidRPr="005351E4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10. Auditoria e Conformidade: motor de regras de compliance (MDE 25%, Fundeb 70%/15%/VAAR, cronograma SIOPE, segregação de funções), alertas e logs imutáveis.</w:t>
      </w:r>
    </w:p>
    <w:p w14:paraId="0211A0B2" w14:textId="77777777" w:rsidR="00CE2D89" w:rsidRDefault="00000000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11. Simulador de Políticas: cenários “e se?” (expansão de tempo integral, redução de alunos por turma, abertura de novas creches, recomposição de aprendizagem) e impactos no CAQ/CAQi, no Fundeb e no MDE.</w:t>
      </w:r>
    </w:p>
    <w:p w14:paraId="384ED623" w14:textId="77777777" w:rsidR="005351E4" w:rsidRPr="005351E4" w:rsidRDefault="005351E4" w:rsidP="005351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E8CA6" w14:textId="77777777" w:rsidR="00CE2D89" w:rsidRPr="005351E4" w:rsidRDefault="00000000" w:rsidP="005351E4">
      <w:pPr>
        <w:pStyle w:val="Ttulo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4) Motor de Cálculo — CAQ/CAQi</w:t>
      </w:r>
    </w:p>
    <w:p w14:paraId="19AAC0EF" w14:textId="77777777" w:rsidR="005351E4" w:rsidRPr="005351E4" w:rsidRDefault="005351E4" w:rsidP="005351E4">
      <w:pPr>
        <w:spacing w:after="0" w:line="240" w:lineRule="auto"/>
      </w:pPr>
    </w:p>
    <w:p w14:paraId="5576C127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Entradas (parametrizáveis):</w:t>
      </w:r>
    </w:p>
    <w:p w14:paraId="47DCE7E2" w14:textId="77777777" w:rsidR="00CE2D89" w:rsidRPr="005351E4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Etapa/modalidade, matrículas/fluxo (urbano/rural, parcial/integral, Educação Especial).</w:t>
      </w:r>
    </w:p>
    <w:p w14:paraId="00B8A677" w14:textId="77777777" w:rsidR="00CE2D89" w:rsidRPr="005351E4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Parâmetros de qualidade (alunos/turma, carga horária docente, formação/salário, insumos por escola).</w:t>
      </w:r>
    </w:p>
    <w:p w14:paraId="46D6E325" w14:textId="77777777" w:rsidR="00CE2D89" w:rsidRPr="005351E4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Catálogos de preços (obras/equip., materiais, serviços), índices (IPCA/SINAPI) e contratos vigentes.</w:t>
      </w:r>
    </w:p>
    <w:p w14:paraId="3CD4D9F6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lastRenderedPageBreak/>
        <w:t>Processamento:</w:t>
      </w:r>
    </w:p>
    <w:p w14:paraId="4CBA774D" w14:textId="77777777" w:rsidR="00CE2D89" w:rsidRPr="005351E4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Matriz Insumo→Custo por etapa: soma de (quantidade‑padrão × custo unitário) anualizada; rateios por escola e por rede.</w:t>
      </w:r>
    </w:p>
    <w:p w14:paraId="287FA302" w14:textId="77777777" w:rsidR="00CE2D89" w:rsidRPr="005351E4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Validação legal automática: se despesas de pessoal &lt; 70% (Fundeb), disparar ajustes; se complementação‑VAAT capital &lt; 15%, bloquear remanejamentos.</w:t>
      </w:r>
    </w:p>
    <w:p w14:paraId="439D5BFE" w14:textId="77777777" w:rsidR="00CE2D89" w:rsidRPr="005351E4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Indexação por série temporal e reprecificação por contratos vigentes.</w:t>
      </w:r>
    </w:p>
    <w:p w14:paraId="06DEF811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Saídas:</w:t>
      </w:r>
    </w:p>
    <w:p w14:paraId="32DF6105" w14:textId="77777777" w:rsidR="00CE2D89" w:rsidRPr="005351E4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CAQi (padrão mínimo) e CAQ (padrão adequado) por aluno/ano, por etapa e por escola.</w:t>
      </w:r>
    </w:p>
    <w:p w14:paraId="3E99C32D" w14:textId="77777777" w:rsidR="00CE2D89" w:rsidRDefault="00000000" w:rsidP="005351E4">
      <w:pPr>
        <w:pStyle w:val="Commarcadores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Gaps de financiamento e plano de investimento derivado (CAPEX/OPEX).</w:t>
      </w:r>
    </w:p>
    <w:p w14:paraId="17E24658" w14:textId="77777777" w:rsidR="005351E4" w:rsidRPr="005351E4" w:rsidRDefault="005351E4" w:rsidP="005351E4">
      <w:pPr>
        <w:pStyle w:val="Commarcadores2"/>
        <w:numPr>
          <w:ilvl w:val="0"/>
          <w:numId w:val="0"/>
        </w:numPr>
        <w:spacing w:after="0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BE15E54" w14:textId="479C6DE1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Integrações (mínimo viável)</w:t>
      </w:r>
    </w:p>
    <w:p w14:paraId="26CAA804" w14:textId="77777777" w:rsidR="005351E4" w:rsidRPr="005351E4" w:rsidRDefault="005351E4" w:rsidP="005351E4">
      <w:pPr>
        <w:spacing w:after="0" w:line="240" w:lineRule="auto"/>
      </w:pPr>
    </w:p>
    <w:p w14:paraId="7FEC9334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SIOPE/FNDE (consulta/validação).</w:t>
      </w:r>
    </w:p>
    <w:p w14:paraId="31D8382A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SIAFIC/Contábil (PCASP/DCASP/Siconfi).</w:t>
      </w:r>
    </w:p>
    <w:p w14:paraId="4EEF69EA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Censo Escolar/INEP.</w:t>
      </w:r>
    </w:p>
    <w:p w14:paraId="51BF1ADC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IBGE/SINAPI.</w:t>
      </w:r>
    </w:p>
    <w:p w14:paraId="2B76567F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PNCP (compras e contratos).</w:t>
      </w:r>
    </w:p>
    <w:p w14:paraId="75E1012D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Gov.br (OAuth2).</w:t>
      </w:r>
    </w:p>
    <w:p w14:paraId="53F720A5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e‑Assinatura.</w:t>
      </w:r>
    </w:p>
    <w:p w14:paraId="4669ACF1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AAC392D" w14:textId="5584A1EA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Dados, segurança e privacidade (LGPD by design)</w:t>
      </w:r>
    </w:p>
    <w:p w14:paraId="1A129256" w14:textId="77777777" w:rsidR="005351E4" w:rsidRPr="005351E4" w:rsidRDefault="005351E4" w:rsidP="005351E4">
      <w:pPr>
        <w:spacing w:after="0" w:line="240" w:lineRule="auto"/>
      </w:pPr>
    </w:p>
    <w:p w14:paraId="4C1A4804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Modelo de dados com data lineage por fonte/fonte orçamentária.</w:t>
      </w:r>
    </w:p>
    <w:p w14:paraId="2749A509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Mascaramento/pseudonimização para dados sensíveis.</w:t>
      </w:r>
    </w:p>
    <w:p w14:paraId="4F4D0D1B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Perfis de acesso (DPO, controladores, operadores) e segregação de funções.</w:t>
      </w:r>
    </w:p>
    <w:p w14:paraId="59FC9F8C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Registro de Operações de Tratamento (ROPA), gestão de consentimentos e relatórios de incidente.</w:t>
      </w:r>
    </w:p>
    <w:p w14:paraId="4B81966D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Criptografia em repouso e em trânsito; MFA; logs imutáveis (WORM).</w:t>
      </w:r>
    </w:p>
    <w:p w14:paraId="4AC9FDEB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574A1E6" w14:textId="3A729405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UX e acessibilidade</w:t>
      </w:r>
    </w:p>
    <w:p w14:paraId="1A3D3DA5" w14:textId="77777777" w:rsidR="005351E4" w:rsidRPr="005351E4" w:rsidRDefault="005351E4" w:rsidP="005351E4">
      <w:pPr>
        <w:spacing w:after="0" w:line="240" w:lineRule="auto"/>
      </w:pPr>
    </w:p>
    <w:p w14:paraId="2673C747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Painéis executivos (prefeito/secretário/controle), dashboards táticos (finanças/planejamento/obras/folha) e visões operacionais por escola.</w:t>
      </w:r>
    </w:p>
    <w:p w14:paraId="42B0B6A6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Acessibilidade WCAG 2.1 AA; i18n (pt‑BR padrão).</w:t>
      </w:r>
    </w:p>
    <w:p w14:paraId="60872B66" w14:textId="77777777" w:rsidR="005351E4" w:rsidRPr="005351E4" w:rsidRDefault="005351E4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BDF91" w14:textId="2E274527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Critérios de aceite (Definition of Done)</w:t>
      </w:r>
    </w:p>
    <w:p w14:paraId="60EAE385" w14:textId="77777777" w:rsidR="005351E4" w:rsidRPr="005351E4" w:rsidRDefault="005351E4" w:rsidP="005351E4">
      <w:pPr>
        <w:spacing w:after="0" w:line="240" w:lineRule="auto"/>
      </w:pPr>
    </w:p>
    <w:p w14:paraId="2F9C6850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Conformidade legal automatizada: MDE 25%, Fundeb 70% (pessoal), VAAT 15% (capital), condicionalidades VAAR, LAI/LRF art. 48‑A (publicação automática), SIOPE sem pendências.</w:t>
      </w:r>
    </w:p>
    <w:p w14:paraId="1E5A861A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Rastreabilidade total: cada valor em relatório aponta origem (fonte, nota/empenho, contrato, escola) e hash de integridade.</w:t>
      </w:r>
    </w:p>
    <w:p w14:paraId="11D76066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lastRenderedPageBreak/>
        <w:t>Relatórios oficiais: CAQ/CAQi por etapa (R$/aluno/ano e memórias de cálculo), Execução Fundeb (70%/30% + VAAT/VAAR), Aplicação MDE, SIOPE‑ready (pré‑validação).</w:t>
      </w:r>
    </w:p>
    <w:p w14:paraId="6037F39F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E99F170" w14:textId="16673C7C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KPIs de gestão</w:t>
      </w:r>
    </w:p>
    <w:p w14:paraId="6A35360B" w14:textId="77777777" w:rsidR="005351E4" w:rsidRPr="005351E4" w:rsidRDefault="005351E4" w:rsidP="005351E4">
      <w:pPr>
        <w:spacing w:after="0" w:line="240" w:lineRule="auto"/>
      </w:pPr>
    </w:p>
    <w:p w14:paraId="42D01AFF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Cobertura de insumos CAQ/CAQi (%) por escola/etapa.</w:t>
      </w:r>
    </w:p>
    <w:p w14:paraId="44A88326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Gap de financiamento (R$/aluno/ano e % do CAQi/CAQ).</w:t>
      </w:r>
    </w:p>
    <w:p w14:paraId="0FBC32D5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Conformidade Fundeb (70% pessoal; VAAT 15% capital).</w:t>
      </w:r>
    </w:p>
    <w:p w14:paraId="41F6C9AE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Pontualidade SIOPE (envios/validações no prazo).</w:t>
      </w:r>
    </w:p>
    <w:p w14:paraId="33A3E9CF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Transparência ativa (itens/tempo de publicação conforme LRF/LAI).</w:t>
      </w:r>
    </w:p>
    <w:p w14:paraId="783E24FD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24D7C9F" w14:textId="183E4E1F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Arquitetura e tecnologia (diretrizes)</w:t>
      </w:r>
    </w:p>
    <w:p w14:paraId="6879805D" w14:textId="77777777" w:rsidR="005351E4" w:rsidRPr="005351E4" w:rsidRDefault="005351E4" w:rsidP="005351E4">
      <w:pPr>
        <w:spacing w:after="0" w:line="240" w:lineRule="auto"/>
      </w:pPr>
    </w:p>
    <w:p w14:paraId="61B2B21B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Microserviços (orçamento, folha, compras, escolar, CAQ engine, transparência, integrações).</w:t>
      </w:r>
    </w:p>
    <w:p w14:paraId="1F67A78D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API‑first (OpenAPI 3.1) com versionamento e limites; ETL desacoplado.</w:t>
      </w:r>
    </w:p>
    <w:p w14:paraId="66939BB8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Banco de dados relacional (contábil/orçamentário) + camada analítica (DW/Lakehouse) para simulações.</w:t>
      </w:r>
    </w:p>
    <w:p w14:paraId="47C9D755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Autenticação Gov.br (OAuth2), MFA, criptografia em repouso/trânsito, logs imutáveis.</w:t>
      </w:r>
    </w:p>
    <w:p w14:paraId="61E53855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556AA87" w14:textId="78FD9F8F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Backlog inicial (épicos → features → histórias)</w:t>
      </w:r>
    </w:p>
    <w:p w14:paraId="6A23C306" w14:textId="77777777" w:rsidR="005351E4" w:rsidRPr="005351E4" w:rsidRDefault="005351E4" w:rsidP="005351E4">
      <w:pPr>
        <w:spacing w:after="0" w:line="240" w:lineRule="auto"/>
      </w:pPr>
    </w:p>
    <w:p w14:paraId="08D8BDEF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EP: Motor CAQ/CAQi → F: Catálogo de insumos por etapa; F: Regras 70%/15%/VAAR; F: Simulador de cenários; H: Como Secretário, quero comparar CAQi vs. execução para priorizar investimentos.</w:t>
      </w:r>
    </w:p>
    <w:p w14:paraId="7DFB38D6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EP: Fundeb/MDE → F: Rateio por fontes (VAAF/VAAT/VAAR); F: Validador automático; H: Como Contador, quero travar empenhos que violem percentuais vinculados.</w:t>
      </w:r>
    </w:p>
    <w:p w14:paraId="29C060BB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EP: SIOPE → F: Pré‑preenchimento; F: Painel de pendências; H: Como CACS‑Fundeb, quero certificar dados para validação.</w:t>
      </w:r>
    </w:p>
    <w:p w14:paraId="544BAA7E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EP: Compras/Contratos → F: Mapa de riscos (art. 11), ETP, execução e medição; H: Como Pregoeiro, quero controlar execuções e prazos.</w:t>
      </w:r>
    </w:p>
    <w:p w14:paraId="75D88554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EP: Transparência/LAI → F: Portal de dados abertos e repositório documental; H: Como Cidadão, quero consultar CAQ por escola em tempo real.</w:t>
      </w:r>
    </w:p>
    <w:p w14:paraId="0E7FD464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EP: Fiscal/Tributário → F: Motor de retenções com regras para Simples Nacional; H: Como Financeiro, quero guias e DARFs gerados automaticamente.</w:t>
      </w:r>
    </w:p>
    <w:p w14:paraId="77744E15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903B0F5" w14:textId="69EB3F8D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Relatórios obrigatórios (mínimo)</w:t>
      </w:r>
    </w:p>
    <w:p w14:paraId="3D9DCDC1" w14:textId="77777777" w:rsidR="005351E4" w:rsidRPr="005351E4" w:rsidRDefault="005351E4" w:rsidP="005351E4">
      <w:pPr>
        <w:spacing w:after="0" w:line="240" w:lineRule="auto"/>
      </w:pPr>
    </w:p>
    <w:p w14:paraId="7DA87C6B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Relatório CAQi/CAQ por etapa (R$/aluno/ano; memórias de cálculo).</w:t>
      </w:r>
    </w:p>
    <w:p w14:paraId="43BA17C5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MDE 25% — execução bimestral e anual (com reconciliação SIOPE).</w:t>
      </w:r>
    </w:p>
    <w:p w14:paraId="552EC6FE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Fundeb — 70% pessoal; VAAT 15% capital; condicionalidades VAAR; sobras e reprogramações conforme Lei 14.113.</w:t>
      </w:r>
    </w:p>
    <w:p w14:paraId="7E94E3B9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lastRenderedPageBreak/>
        <w:t>Compras/Contratos — planejamento, execução, fiscalizações, aditivos (Lei 14.133).</w:t>
      </w:r>
    </w:p>
    <w:p w14:paraId="30F12E2A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Transparência/LAI — registros de pedidos/respostas e publicações (LRF 48‑A/LAI).</w:t>
      </w:r>
    </w:p>
    <w:p w14:paraId="354222E6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F84C1C6" w14:textId="3DCB9614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Regras de negócio críticas (automatize)</w:t>
      </w:r>
    </w:p>
    <w:p w14:paraId="55D09406" w14:textId="77777777" w:rsidR="005351E4" w:rsidRPr="005351E4" w:rsidRDefault="005351E4" w:rsidP="005351E4">
      <w:pPr>
        <w:spacing w:after="0" w:line="240" w:lineRule="auto"/>
      </w:pPr>
    </w:p>
    <w:p w14:paraId="130A8B78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Bloquear classificação de despesa que deturpe percentuais legais (ex.: impedir computar despesa não aceita como 70% Fundeb; impedir VAAT &lt; 15% capital).</w:t>
      </w:r>
    </w:p>
    <w:p w14:paraId="16953976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Avisos se MDE &lt; 25% com projeções até o fechamento do exercício.</w:t>
      </w:r>
    </w:p>
    <w:p w14:paraId="75CA268D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Trilhas de auditoria para cada lançamento; dupla checagem para alterações de parâmetros do CAQ/CAQi.</w:t>
      </w:r>
    </w:p>
    <w:p w14:paraId="39B31617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735E263" w14:textId="00911ECF" w:rsidR="00CE2D89" w:rsidRPr="005351E4" w:rsidRDefault="00000000" w:rsidP="005351E4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Documentação e evidências</w:t>
      </w:r>
    </w:p>
    <w:p w14:paraId="19D7A2E6" w14:textId="77777777" w:rsidR="005351E4" w:rsidRPr="005351E4" w:rsidRDefault="005351E4" w:rsidP="005351E4">
      <w:pPr>
        <w:spacing w:after="0" w:line="240" w:lineRule="auto"/>
      </w:pPr>
    </w:p>
    <w:p w14:paraId="193AD0DA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Manual de cálculo do CAQ/CAQi (fórmulas, parâmetros, fontes e versões de índices).</w:t>
      </w:r>
    </w:p>
    <w:p w14:paraId="006AE95B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Mapa de conformidade legal (CF/LDB/PNE/Fundeb/LRF/LAI/SIAFIC/Lei 14.133/LGPD), com links institucionais e datas de verificação.</w:t>
      </w:r>
    </w:p>
    <w:p w14:paraId="2F9630BB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086F757" w14:textId="77777777" w:rsidR="00CE2D89" w:rsidRPr="005351E4" w:rsidRDefault="00000000" w:rsidP="005351E4">
      <w:pPr>
        <w:pStyle w:val="Ttulo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Observações finais para o time técnico</w:t>
      </w:r>
    </w:p>
    <w:p w14:paraId="03CAB578" w14:textId="77777777" w:rsidR="005351E4" w:rsidRPr="005351E4" w:rsidRDefault="005351E4" w:rsidP="005351E4">
      <w:pPr>
        <w:spacing w:after="0" w:line="240" w:lineRule="auto"/>
      </w:pPr>
    </w:p>
    <w:p w14:paraId="74CB8FAF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Aderência ao anexo CAQ.pdf: manter os módulos e relatórios previstos no Projeto CAQi (gestão escolar, pedagógico, e‑contabilidade, e‑auditoria, compras/contratos e motor CAQ).</w:t>
      </w:r>
    </w:p>
    <w:p w14:paraId="40541211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Evidência normativa: utilizar sempre fontes oficiais (Planalto, MEC/FNDE, STN/Tesouro).</w:t>
      </w:r>
    </w:p>
    <w:p w14:paraId="7445DE2E" w14:textId="77777777" w:rsidR="00CE2D89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Governança e escalabilidade: priorizar auditoria nativa, rastreabilidade, segurança LGPD e integração contábil (SIAFIC/PCASP).</w:t>
      </w:r>
    </w:p>
    <w:p w14:paraId="751F02EA" w14:textId="77777777" w:rsidR="005351E4" w:rsidRPr="005351E4" w:rsidRDefault="005351E4" w:rsidP="005351E4">
      <w:pPr>
        <w:pStyle w:val="Commarcadores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76979E8" w14:textId="77777777" w:rsidR="00CE2D89" w:rsidRPr="005351E4" w:rsidRDefault="00000000" w:rsidP="005351E4">
      <w:pPr>
        <w:pStyle w:val="Ttulo1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351E4">
        <w:rPr>
          <w:rFonts w:ascii="Times New Roman" w:hAnsi="Times New Roman" w:cs="Times New Roman"/>
          <w:color w:val="auto"/>
          <w:sz w:val="24"/>
          <w:szCs w:val="24"/>
        </w:rPr>
        <w:t>Principais referências legais citadas</w:t>
      </w:r>
    </w:p>
    <w:p w14:paraId="3A4890E9" w14:textId="77777777" w:rsidR="005351E4" w:rsidRPr="005351E4" w:rsidRDefault="005351E4" w:rsidP="005351E4">
      <w:pPr>
        <w:spacing w:after="0" w:line="240" w:lineRule="auto"/>
      </w:pPr>
    </w:p>
    <w:p w14:paraId="64768209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CF/88 (arts. 205, 206, 212 e 212‑A).</w:t>
      </w:r>
    </w:p>
    <w:p w14:paraId="31677B6C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LDB 9.394/1996 (arts. 4º, 74 e 75).</w:t>
      </w:r>
    </w:p>
    <w:p w14:paraId="69F6A424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13.005/2014 (PNE – Meta 20: CAQ/CAQi).</w:t>
      </w:r>
    </w:p>
    <w:p w14:paraId="3603E4FA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14.113/2020 (Fundeb: 70% e 15% VAAT; VAAF/VAAT/VAAR).</w:t>
      </w:r>
    </w:p>
    <w:p w14:paraId="4E7413E0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LC 101/2000 (LRF) – art. 48‑A.</w:t>
      </w:r>
    </w:p>
    <w:p w14:paraId="562B5609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12.527/2011 (LAI).</w:t>
      </w:r>
    </w:p>
    <w:p w14:paraId="5790730E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Decreto 10.540/2020 (SIAFIC).</w:t>
      </w:r>
    </w:p>
    <w:p w14:paraId="5B9ACD7B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Manuais STN (MCASP/MDF).</w:t>
      </w:r>
    </w:p>
    <w:p w14:paraId="5CC9C904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14.133/2021 (Licitações e Contratos).</w:t>
      </w:r>
    </w:p>
    <w:p w14:paraId="4431766B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Lei 13.709/2018 (LGPD).</w:t>
      </w:r>
    </w:p>
    <w:p w14:paraId="3898CA27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LC 123/2006 e Resolução CGSN 140/2018 (Simples Nacional).</w:t>
      </w:r>
    </w:p>
    <w:p w14:paraId="5890077E" w14:textId="77777777" w:rsidR="00CE2D89" w:rsidRPr="005351E4" w:rsidRDefault="00000000" w:rsidP="005351E4">
      <w:pPr>
        <w:pStyle w:val="Commarcadores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1E4">
        <w:rPr>
          <w:rFonts w:ascii="Times New Roman" w:hAnsi="Times New Roman" w:cs="Times New Roman"/>
          <w:sz w:val="24"/>
          <w:szCs w:val="24"/>
        </w:rPr>
        <w:t>SIOPE (FNDE).</w:t>
      </w:r>
    </w:p>
    <w:sectPr w:rsidR="00CE2D89" w:rsidRPr="005351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32199C"/>
    <w:multiLevelType w:val="hybridMultilevel"/>
    <w:tmpl w:val="C388B47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110136">
    <w:abstractNumId w:val="8"/>
  </w:num>
  <w:num w:numId="2" w16cid:durableId="1362626192">
    <w:abstractNumId w:val="6"/>
  </w:num>
  <w:num w:numId="3" w16cid:durableId="705181564">
    <w:abstractNumId w:val="5"/>
  </w:num>
  <w:num w:numId="4" w16cid:durableId="541750343">
    <w:abstractNumId w:val="4"/>
  </w:num>
  <w:num w:numId="5" w16cid:durableId="1807114573">
    <w:abstractNumId w:val="7"/>
  </w:num>
  <w:num w:numId="6" w16cid:durableId="434597381">
    <w:abstractNumId w:val="3"/>
  </w:num>
  <w:num w:numId="7" w16cid:durableId="436293732">
    <w:abstractNumId w:val="2"/>
  </w:num>
  <w:num w:numId="8" w16cid:durableId="1614551696">
    <w:abstractNumId w:val="1"/>
  </w:num>
  <w:num w:numId="9" w16cid:durableId="199174736">
    <w:abstractNumId w:val="0"/>
  </w:num>
  <w:num w:numId="10" w16cid:durableId="1042633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3BB"/>
    <w:rsid w:val="0029639D"/>
    <w:rsid w:val="00326F90"/>
    <w:rsid w:val="005351E4"/>
    <w:rsid w:val="006137DB"/>
    <w:rsid w:val="00AA1D8D"/>
    <w:rsid w:val="00B47730"/>
    <w:rsid w:val="00CB0664"/>
    <w:rsid w:val="00CE2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4F3B5"/>
  <w14:defaultImageDpi w14:val="300"/>
  <w15:docId w15:val="{21949B8C-168B-4E8E-A9EA-BD7DE79D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1653</Words>
  <Characters>8930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Vargas</cp:lastModifiedBy>
  <cp:revision>2</cp:revision>
  <dcterms:created xsi:type="dcterms:W3CDTF">2013-12-23T23:15:00Z</dcterms:created>
  <dcterms:modified xsi:type="dcterms:W3CDTF">2025-08-14T14:41:00Z</dcterms:modified>
  <cp:category/>
</cp:coreProperties>
</file>