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B5563"/>
          <w:sz w:val="34"/>
          <w:szCs w:val="34"/>
        </w:rPr>
        <w:t xml:space="preserve">État de l'art</w:t>
      </w:r>
    </w:p>
    <w:p>
      <w:pPr>
        <w:spacing w:after="50"/>
      </w:pPr>
      <w:r>
        <w:rPr>
          <w:rFonts w:ascii="Calibri" w:cs="Calibri" w:eastAsia="Calibri" w:hAnsi="Calibri"/>
          <w:color w:val="5B6770"/>
          <w:sz w:val="21"/>
          <w:szCs w:val="21"/>
        </w:rPr>
        <w:t xml:space="preserve">Squelette du document, structure retenue avec les encadrants</w:t>
      </w:r>
    </w:p>
    <w:p>
      <w:pPr>
        <w:pBdr>
          <w:bottom w:val="single" w:color="0B5563" w:sz="12" w:space="5"/>
        </w:pBdr>
        <w:spacing w:after="140"/>
      </w:pPr>
      <w:r>
        <w:rPr>
          <w:rFonts w:ascii="Calibri" w:cs="Calibri" w:eastAsia="Calibri" w:hAnsi="Calibri"/>
          <w:color w:val="5B6770"/>
          <w:sz w:val="15"/>
          <w:szCs w:val="15"/>
        </w:rPr>
        <w:t xml:space="preserve">PRI 2026-2027  ·  DAISI  ·  Livrable T1  ·  P. Thiboult et L. Grot  ·  Encadrants : I. Martinez et D. Boiteau</w:t>
      </w:r>
    </w:p>
    <w:tbl>
      <w:tblPr>
        <w:tblW w:type="dxa" w:w="9746"/>
        <w:tblBorders>
          <w:top w:val="none"/>
          <w:left w:val="single" w:color="0B5563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EDF2F4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0" w:line="238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Structure proposée par les encadrants</w:t>
            </w: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, reprise ici telle quelle. Elle vise une lecture accessible à quelqu'un qui n'est pas du domaine. Les passages en italique sont leurs consignes de rédaction.</w:t>
            </w:r>
          </w:p>
        </w:tc>
      </w:tr>
    </w:tbl>
    <w:p>
      <w:pPr>
        <w:spacing w:after="55"/>
      </w:pPr>
    </w:p>
    <w:p>
      <w:pPr>
        <w:keepNext/>
        <w:pBdr>
          <w:bottom w:val="single" w:color="C3CED4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1.   </w:t>
      </w: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Contexte, problématique et objectifs</w:t>
      </w:r>
    </w:p>
    <w:p>
      <w:pPr>
        <w:keepNext/>
        <w:spacing w:after="34" w:before="65"/>
        <w:ind w:left="26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1.1  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Enjeux de la gestion de l'eau dans les bâtiments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Tension sur la ressource, coûts et exigences de sobriété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Place de l'eau dans les démarches de performance et de durabilité des bâtiments</w:t>
      </w:r>
    </w:p>
    <w:p>
      <w:pPr>
        <w:keepNext/>
        <w:spacing w:after="34" w:before="65"/>
        <w:ind w:left="26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1.2  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Limites du suivi actuel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Ce qu'un compteur général permet et ne permet pas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Besoin de mesures plus fines pour localiser les usages et repérer les dérives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Arbitrage entre niveau de détail, coût, complexité et maintenance</w:t>
      </w:r>
    </w:p>
    <w:p>
      <w:pPr>
        <w:keepNext/>
        <w:spacing w:after="34" w:before="65"/>
        <w:ind w:left="26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1.3  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Problématique du projet</w:t>
      </w:r>
    </w:p>
    <w:p>
      <w:pPr>
        <w:spacing w:after="26" w:line="230"/>
        <w:ind w:left="540"/>
      </w:pPr>
      <w:r>
        <w:rPr>
          <w:rFonts w:ascii="Calibri" w:cs="Calibri" w:eastAsia="Calibri" w:hAnsi="Calibri"/>
          <w:i/>
          <w:iCs/>
          <w:color w:val="5B6770"/>
          <w:sz w:val="17"/>
          <w:szCs w:val="17"/>
        </w:rPr>
        <w:t xml:space="preserve">Formulation proposée : comment concevoir un système de mesure et de transmission des consommations d'eau adapté aux contraintes d'une école d'ingénieurs, permettant de mieux comprendre les usages et de détecter des anomalies ?</w:t>
      </w:r>
    </w:p>
    <w:p>
      <w:pPr>
        <w:keepNext/>
        <w:spacing w:after="34" w:before="65"/>
        <w:ind w:left="26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1.4  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Objectifs et périmètre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Caractériser les besoins pratiques des utilisateurs et des gestionnaires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Comparer les solutions de mesure et de communication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Étudier la propagation radio sur le site, en tenant compte des emplacements envisagés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Définir une architecture de collecte, de stockage et de visualisation des données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Préciser les critères d'évaluation du système</w:t>
      </w:r>
    </w:p>
    <w:p>
      <w:pPr>
        <w:keepNext/>
        <w:pBdr>
          <w:bottom w:val="single" w:color="C3CED4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2.   </w:t>
      </w: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Usages et retours d'expérience</w:t>
      </w:r>
    </w:p>
    <w:p>
      <w:pPr>
        <w:spacing w:after="26" w:line="230"/>
        <w:ind w:left="540"/>
      </w:pPr>
      <w:r>
        <w:rPr>
          <w:rFonts w:ascii="Calibri" w:cs="Calibri" w:eastAsia="Calibri" w:hAnsi="Calibri"/>
          <w:i/>
          <w:iCs/>
          <w:color w:val="5B6770"/>
          <w:sz w:val="17"/>
          <w:szCs w:val="17"/>
        </w:rPr>
        <w:t xml:space="preserve">S'inspirer des cas d'usage transmis par les encadrants.</w:t>
      </w:r>
    </w:p>
    <w:p>
      <w:pPr>
        <w:keepNext/>
        <w:spacing w:after="34" w:before="65"/>
        <w:ind w:left="26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2.1  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Bâtiments tertiaires et établissements d'enseignement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Sous-comptage, suivi des usages et tableaux de bord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Détection de fuites, de consommations nocturnes ou de dérives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Retours d'expérience les plus proches du cas de l'école</w:t>
      </w:r>
    </w:p>
    <w:p>
      <w:pPr>
        <w:keepNext/>
        <w:spacing w:after="34" w:before="65"/>
        <w:ind w:left="26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2.2  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Collectivités et patrimoine immobilier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Suivi de bâtiments multiples, comparaison des sites et priorisation des interventions</w:t>
      </w:r>
    </w:p>
    <w:p>
      <w:pPr>
        <w:keepNext/>
        <w:spacing w:after="34" w:before="65"/>
        <w:ind w:left="26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2.3  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Réseaux de distribution et télérelève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Apports des pratiques du secteur de l'eau : relevé à distance, alarmes, supervision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Distinguer ces systèmes de ceux adaptés au sous-comptage dans un bâtiment</w:t>
      </w:r>
    </w:p>
    <w:p>
      <w:pPr>
        <w:keepNext/>
        <w:spacing w:after="34" w:before="65"/>
        <w:ind w:left="26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2.4  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Limites et enseignements pour le projet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Les résultats obtenus ailleurs sont-ils transférables à une école ?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Différences de taille, d'occupation, de réseau hydraulique et de moyens de maintenance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Limites des retours d'expérience : données disponibles, durée des essais et preuves d'efficacité</w:t>
      </w:r>
    </w:p>
    <w:p>
      <w:pPr>
        <w:keepNext/>
        <w:pBdr>
          <w:bottom w:val="single" w:color="C3CED4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3.   </w:t>
      </w: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Mesure de la consommation et choix des compteurs</w:t>
      </w:r>
    </w:p>
    <w:p>
      <w:pPr>
        <w:keepNext/>
        <w:spacing w:after="34" w:before="65"/>
        <w:ind w:left="26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3.1  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Grandeurs à mesurer et besoins de résolution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Volume, débit, fréquence d'échantillonnage et précision utile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Consommations faibles, intermittentes ou continues ; plage de débit attendue</w:t>
      </w:r>
    </w:p>
    <w:p>
      <w:pPr>
        <w:keepNext/>
        <w:spacing w:after="34" w:before="65"/>
        <w:ind w:left="26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3.2  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Familles de compteurs et principes de mesure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Compteurs mécaniques et modules de télérelève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Compteurs à impulsions, lecture visuelle par caméra et autres technologies pertinentes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Mesure directe ou ajout d'un capteur sur un compteur existant</w:t>
      </w:r>
    </w:p>
    <w:p>
      <w:pPr>
        <w:keepNext/>
        <w:spacing w:after="34" w:before="65"/>
        <w:ind w:left="26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3.3  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Critères de comparaison</w:t>
      </w:r>
    </w:p>
    <w:p>
      <w:pPr>
        <w:spacing w:after="26" w:line="230"/>
        <w:ind w:left="540"/>
      </w:pPr>
      <w:r>
        <w:rPr>
          <w:rFonts w:ascii="Calibri" w:cs="Calibri" w:eastAsia="Calibri" w:hAnsi="Calibri"/>
          <w:i/>
          <w:iCs/>
          <w:color w:val="5B6770"/>
          <w:sz w:val="17"/>
          <w:szCs w:val="17"/>
        </w:rPr>
        <w:t xml:space="preserve">Faire un tableau comparatif.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Précision, plage de mesure, pertes de charge, diamètre et compatibilité avec l'installation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Coût d'achat et de pose, alimentation, durée de vie, maintenance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Facilité d'intégration et capacité à détecter les usages visés</w:t>
      </w:r>
    </w:p>
    <w:p>
      <w:pPr>
        <w:keepNext/>
        <w:spacing w:after="34" w:before="65"/>
        <w:ind w:left="26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3.4  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Synthèse des options pour l'école</w:t>
      </w:r>
    </w:p>
    <w:p>
      <w:pPr>
        <w:spacing w:after="26" w:line="230"/>
        <w:ind w:left="540"/>
      </w:pPr>
      <w:r>
        <w:rPr>
          <w:rFonts w:ascii="Calibri" w:cs="Calibri" w:eastAsia="Calibri" w:hAnsi="Calibri"/>
          <w:i/>
          <w:iCs/>
          <w:color w:val="5B6770"/>
          <w:sz w:val="17"/>
          <w:szCs w:val="17"/>
        </w:rPr>
        <w:t xml:space="preserve">Faire un tableau comparatif. Présenter une comparaison argumentée et les critères qui guideront le choix, sans présupposer la technologie retenue.</w:t>
      </w:r>
    </w:p>
    <w:p>
      <w:pPr>
        <w:keepNext/>
        <w:pBdr>
          <w:bottom w:val="single" w:color="C3CED4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4.   </w:t>
      </w: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Transmission des données : technologies et architecture</w:t>
      </w:r>
    </w:p>
    <w:p>
      <w:pPr>
        <w:keepNext/>
        <w:spacing w:after="34" w:before="65"/>
        <w:ind w:left="26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4.1  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Besoins de communication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Portée, fréquence d'émission, autonomie, couverture intérieure et capacité du réseau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Contraintes de pose, de sécurité et d'accès aux équipements</w:t>
      </w:r>
    </w:p>
    <w:p>
      <w:pPr>
        <w:spacing w:after="26" w:line="230"/>
        <w:ind w:left="540"/>
      </w:pPr>
      <w:r>
        <w:rPr>
          <w:rFonts w:ascii="Calibri" w:cs="Calibri" w:eastAsia="Calibri" w:hAnsi="Calibri"/>
          <w:i/>
          <w:iCs/>
          <w:color w:val="5B6770"/>
          <w:sz w:val="17"/>
          <w:szCs w:val="17"/>
        </w:rPr>
        <w:t xml:space="preserve">Tableau comparatif des différentes options.</w:t>
      </w:r>
    </w:p>
    <w:p>
      <w:pPr>
        <w:keepNext/>
        <w:spacing w:after="34" w:before="65"/>
        <w:ind w:left="26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4.2  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Technologies candidates</w:t>
      </w:r>
    </w:p>
    <w:p>
      <w:pPr>
        <w:spacing w:after="26" w:line="230"/>
        <w:ind w:left="540"/>
      </w:pPr>
      <w:r>
        <w:rPr>
          <w:rFonts w:ascii="Calibri" w:cs="Calibri" w:eastAsia="Calibri" w:hAnsi="Calibri"/>
          <w:i/>
          <w:iCs/>
          <w:color w:val="5B6770"/>
          <w:sz w:val="17"/>
          <w:szCs w:val="17"/>
        </w:rPr>
        <w:t xml:space="preserve">Comparer les solutions pertinentes pour le site : réseaux bas débit longue portée, réseaux locaux sans fil, liaison filaire, transmission cellulaire. Même si le choix nous a été imposé, cela permet de connaître les autres technologies.</w:t>
      </w:r>
    </w:p>
    <w:p>
      <w:pPr>
        <w:keepNext/>
        <w:spacing w:after="34" w:before="65"/>
        <w:ind w:left="26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4.3  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Étude de propagation sur le site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Plans, matériaux, niveaux, cloisons, locaux techniques et emplacements possibles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Modèles de propagation et hypothèses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Mesures de terrain et validation des prédictions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Couverture, qualité de liaison, zones d'ombre et marge de robustesse</w:t>
      </w:r>
    </w:p>
    <w:p>
      <w:pPr>
        <w:keepNext/>
        <w:spacing w:after="34" w:before="65"/>
        <w:ind w:left="26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4.4  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Synthèse et choix</w:t>
      </w:r>
    </w:p>
    <w:p>
      <w:pPr>
        <w:spacing w:after="26" w:line="230"/>
        <w:ind w:left="540"/>
      </w:pPr>
      <w:r>
        <w:rPr>
          <w:rFonts w:ascii="Calibri" w:cs="Calibri" w:eastAsia="Calibri" w:hAnsi="Calibri"/>
          <w:i/>
          <w:iCs/>
          <w:color w:val="5B6770"/>
          <w:sz w:val="17"/>
          <w:szCs w:val="17"/>
        </w:rPr>
        <w:t xml:space="preserve">Relier les résultats de propagation aux contraintes des capteurs, et expliciter les compromis : couverture, autonomie, coût et fiabilité.</w:t>
      </w:r>
    </w:p>
    <w:p>
      <w:pPr>
        <w:keepNext/>
        <w:pBdr>
          <w:bottom w:val="single" w:color="C3CED4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5.   </w:t>
      </w: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De la mesure au tableau de bord : données et interopérabilité</w:t>
      </w:r>
    </w:p>
    <w:p>
      <w:pPr>
        <w:keepNext/>
        <w:spacing w:after="34" w:before="65"/>
        <w:ind w:left="26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5.1  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Chaîne de données</w:t>
      </w:r>
    </w:p>
    <w:p>
      <w:pPr>
        <w:spacing w:after="26" w:line="230"/>
        <w:ind w:left="540"/>
      </w:pPr>
      <w:r>
        <w:rPr>
          <w:rFonts w:ascii="Calibri" w:cs="Calibri" w:eastAsia="Calibri" w:hAnsi="Calibri"/>
          <w:i/>
          <w:iCs/>
          <w:color w:val="5B6770"/>
          <w:sz w:val="17"/>
          <w:szCs w:val="17"/>
        </w:rPr>
        <w:t xml:space="preserve">Décrire le parcours complet : compteur ou capteur, transmission, passerelle, serveur ou base de données, interface de visualisation, système d'alertes.</w:t>
      </w:r>
    </w:p>
    <w:p>
      <w:pPr>
        <w:keepNext/>
        <w:spacing w:after="34" w:before="65"/>
        <w:ind w:left="26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5.2  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Modèle de données et métadonnées</w:t>
      </w:r>
    </w:p>
    <w:p>
      <w:pPr>
        <w:spacing w:after="26" w:line="230"/>
        <w:ind w:left="540"/>
      </w:pPr>
      <w:r>
        <w:rPr>
          <w:rFonts w:ascii="Calibri" w:cs="Calibri" w:eastAsia="Calibri" w:hAnsi="Calibri"/>
          <w:i/>
          <w:iCs/>
          <w:color w:val="5B6770"/>
          <w:sz w:val="17"/>
          <w:szCs w:val="17"/>
        </w:rPr>
        <w:t xml:space="preserve">Étudier ce que les autres mettent dans leurs champs de données.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Identifiant du capteur, emplacement, unité, horodatage, valeur, qualité de mesure et état de l'équipement</w:t>
      </w:r>
    </w:p>
    <w:p>
      <w:pPr>
        <w:keepNext/>
        <w:spacing w:after="34" w:before="65"/>
        <w:ind w:left="26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5.3  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Protocoles et formats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Protocoles de communication applicatifs et formats de données envisageables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Intérêt de s'appuyer sur des standards et conditions nécessaires à l'interopérabilité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Sécurité, droits d'accès, conservation et export des données</w:t>
      </w:r>
    </w:p>
    <w:p>
      <w:pPr>
        <w:keepNext/>
        <w:spacing w:after="34" w:before="65"/>
        <w:ind w:left="26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5.4  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Tableau de bord et indicateurs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Suivi par bâtiment, zone ou usage, selon le niveau de mesure retenu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Comparaison temporelle, consommations hors occupation et alarmes éventuelles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Besoins des utilisateurs et précautions d'interprétation des indicateurs</w:t>
      </w:r>
    </w:p>
    <w:p>
      <w:pPr>
        <w:keepNext/>
        <w:pBdr>
          <w:bottom w:val="single" w:color="C3CED4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6.   </w:t>
      </w: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Détection des anomalies et interprétation des consommations</w:t>
      </w:r>
    </w:p>
    <w:p>
      <w:pPr>
        <w:keepNext/>
        <w:spacing w:after="34" w:before="65"/>
        <w:ind w:left="26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6.1  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Fuites et consommations anormales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Signatures potentielles : débit continu, consommation nocturne, hausse inhabituelle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Différence entre détection d'une anomalie et diagnostic certain d'une fuite</w:t>
      </w:r>
    </w:p>
    <w:p>
      <w:pPr>
        <w:keepNext/>
        <w:spacing w:after="34" w:before="65"/>
        <w:ind w:left="26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6.2  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Méthodes et limites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Seuils simples, règles temporelles et approches de détection plus avancées si les données le permettent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Effets de l'occupation, des calendriers, des usages intermittents et de la résolution de mesure</w:t>
      </w:r>
    </w:p>
    <w:p>
      <w:pPr>
        <w:keepNext/>
        <w:spacing w:after="34" w:before="65"/>
        <w:ind w:left="26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6.3  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Critères d'évaluation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Taux de disponibilité des données, qualité de mesure et taux de fausses alertes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Capacité à repérer des événements connus ou simulés, si cela est réalisable dans le projet</w:t>
      </w:r>
    </w:p>
    <w:p>
      <w:pPr>
        <w:keepNext/>
        <w:pBdr>
          <w:bottom w:val="single" w:color="C3CED4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7.   </w:t>
      </w: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Synthèse et cadre de conception du projet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Résumer les enseignements de l'état de l'art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Expliciter les choix ouverts et les compromis à arbitrer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Formuler les exigences fonctionnelles et techniques qui découleront de la revue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Proposer une démarche de validation : essais de mesure, couverture radio, transmission, visualisation et scénarios d'anomalie</w:t>
      </w:r>
    </w:p>
    <w:p>
      <w:pPr>
        <w:spacing w:after="26" w:line="230"/>
        <w:ind w:left="540" w:hanging="14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Identifier les limites et perspectives du projet</w:t>
      </w:r>
    </w:p>
    <w:p>
      <w:pPr>
        <w:keepNext/>
        <w:pBdr>
          <w:bottom w:val="single" w:color="C3CED4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8.   </w:t>
      </w: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Références bibliographiques et documentaires</w:t>
      </w:r>
    </w:p>
    <w:sectPr>
      <w:pgSz w:w="11906" w:h="16838" w:orient="portrait"/>
      <w:pgMar w:top="863" w:right="1152" w:bottom="72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2026-09-28T11:39:35.766Z</dcterms:created>
  <dcterms:modified xsi:type="dcterms:W3CDTF">2026-09-28T11:39:35.766Z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