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70" w:before="150"/>
      </w:pPr>
      <w:r>
        <w:rPr>
          <w:rFonts w:ascii="Calibri" w:cs="Calibri" w:eastAsia="Calibri" w:hAnsi="Calibri"/>
          <w:b/>
          <w:bCs/>
          <w:color w:val="0B5563"/>
          <w:sz w:val="21"/>
          <w:szCs w:val="21"/>
        </w:rPr>
        <w:t xml:space="preserve">1.  Besoin</w:t>
      </w:r>
    </w:p>
    <w:p>
      <w:pPr>
        <w:spacing w:after="70" w:line="238"/>
      </w:pPr>
      <w:r>
        <w:rPr>
          <w:rFonts w:ascii="Calibri" w:cs="Calibri" w:eastAsia="Calibri" w:hAnsi="Calibri"/>
          <w:color w:val="1F2933"/>
          <w:sz w:val="18"/>
          <w:szCs w:val="18"/>
        </w:rPr>
        <w:t xml:space="preserve">Mesurer et suivre la consommation d'eau de l'ECAM par zone d'usage, afin d'identifier les postes de consommation et de détecter les fuites. Les relevés sont transmis par LoRaWAN et exploités dans ChirpStack.</w:t>
      </w:r>
    </w:p>
    <w:p>
      <w:pPr>
        <w:pBdr>
          <w:bottom w:val="single" w:color="C3CED4" w:sz="6" w:space="2"/>
        </w:pBdr>
        <w:spacing w:after="70" w:before="15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5</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pBdr>
          <w:bottom w:val="single" w:color="C3CED4" w:sz="6" w:space="2"/>
        </w:pBdr>
        <w:spacing w:after="70" w:before="150"/>
      </w:pPr>
      <w:r>
        <w:rPr>
          <w:rFonts w:ascii="Calibri" w:cs="Calibri" w:eastAsia="Calibri" w:hAnsi="Calibri"/>
          <w:b/>
          <w:bCs/>
          <w:color w:val="0B5563"/>
          <w:sz w:val="21"/>
          <w:szCs w:val="21"/>
        </w:rPr>
        <w:t xml:space="preserve">3.  Périmètre : affectation des sous-compteurs</w:t>
      </w:r>
    </w:p>
    <w:p>
      <w:pPr>
        <w:spacing w:after="70" w:line="238"/>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 (= S1)</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Comporte la dérivation d'une entreprise tierce</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Index total télérelevé</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 d'isolement</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Une seule à poser ; les autres points sont déjà équipés</w:t>
            </w:r>
          </w:p>
        </w:tc>
      </w:tr>
    </w:tbl>
    <w:p>
      <w:pPr>
        <w:spacing w:after="70" w:line="238"/>
      </w:pPr>
      <w:r>
        <w:rPr>
          <w:rFonts w:ascii="Calibri" w:cs="Calibri" w:eastAsia="Calibri" w:hAnsi="Calibri"/>
          <w:b/>
          <w:bCs/>
          <w:color w:val="1F2933"/>
          <w:sz w:val="18"/>
          <w:szCs w:val="18"/>
        </w:rPr>
        <w:t xml:space="preserve">Les zones non équipées</w:t>
      </w:r>
      <w:r>
        <w:rPr>
          <w:rFonts w:ascii="Calibri" w:cs="Calibri" w:eastAsia="Calibri" w:hAnsi="Calibri"/>
          <w:color w:val="1F2933"/>
          <w:sz w:val="18"/>
          <w:szCs w:val="18"/>
        </w:rPr>
        <w:t xml:space="preserve"> sont le S2, le S3, les toilettes de l'étage et un ou deux points d'eau supplémentaires : leur consommation est obtenue par différence, dans le résidu.</w:t>
      </w:r>
    </w:p>
    <w:p>
      <w:pPr>
        <w:pBdr>
          <w:bottom w:val="single" w:color="C3CED4" w:sz="6" w:space="2"/>
        </w:pBdr>
        <w:spacing w:after="70" w:before="15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70" w:line="238"/>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 S2, le S3, les toilettes de l'étage, un ou deux points d'eau supplémentaires, les usages divers non comptés et les fuites du réseau. Il est donc désigné « non sous-compté » dans ChirpStack et dans les rapports.</w:t>
      </w:r>
    </w:p>
    <w:p>
      <w:pPr>
        <w:spacing w:after="70" w:line="238"/>
      </w:pPr>
      <w:r>
        <w:rPr>
          <w:rFonts w:ascii="Calibri" w:cs="Calibri" w:eastAsia="Calibri" w:hAnsi="Calibri"/>
          <w:b/>
          <w:bCs/>
          <w:color w:val="1F2933"/>
          <w:sz w:val="18"/>
          <w:szCs w:val="18"/>
        </w:rPr>
        <w:t xml:space="preserve">Sensibilité de la détection. </w:t>
      </w:r>
      <w:r>
        <w:rPr>
          <w:rFonts w:ascii="Calibri" w:cs="Calibri" w:eastAsia="Calibri" w:hAnsi="Calibri"/>
          <w:color w:val="1F2933"/>
          <w:sz w:val="18"/>
          <w:szCs w:val="18"/>
        </w:rPr>
        <w:t xml:space="preserve">Une fuite de 50 L/h est évidente dans un résidu qui vaut habituellement 20 L/h, mais se noie dans un résidu qui en vaut 400 : avec cinq à six zones agrégées, le total journalier ne permet plus de conclure. La parade est d'exploiter le </w:t>
      </w:r>
      <w:r>
        <w:rPr>
          <w:rFonts w:ascii="Calibri" w:cs="Calibri" w:eastAsia="Calibri" w:hAnsi="Calibri"/>
          <w:b/>
          <w:bCs/>
          <w:color w:val="1F2933"/>
          <w:sz w:val="18"/>
          <w:szCs w:val="18"/>
        </w:rPr>
        <w:t xml:space="preserve">minimum nocturne</w:t>
      </w:r>
      <w:r>
        <w:rPr>
          <w:rFonts w:ascii="Calibri" w:cs="Calibri" w:eastAsia="Calibri" w:hAnsi="Calibri"/>
          <w:color w:val="1F2933"/>
          <w:sz w:val="18"/>
          <w:szCs w:val="18"/>
        </w:rPr>
        <w:t xml:space="preserve"> : la nuit, ces zones sont inoccupées et leur consommation légitime doit tomber quasiment à zéro, donc un plancher nocturne qui ne descend pas signale une fuite quel que soit le nombre de zones. C'est ce qui justifie le relevé au pas horaire. Contrepartie assumée : le système détecte, un humain localise.</w:t>
      </w:r>
    </w:p>
    <w:p>
      <w:pPr>
        <w:spacing w:after="70" w:line="238"/>
      </w:pPr>
      <w:r>
        <w:rPr>
          <w:rFonts w:ascii="Calibri" w:cs="Calibri" w:eastAsia="Calibri" w:hAnsi="Calibri"/>
          <w:color w:val="1F2933"/>
          <w:sz w:val="18"/>
          <w:szCs w:val="18"/>
        </w:rPr>
        <w:t xml:space="preserve">Consommation propre à l'ECAM : </w:t>
      </w:r>
      <w:r>
        <w:rPr>
          <w:rFonts w:ascii="Calibri" w:cs="Calibri" w:eastAsia="Calibri" w:hAnsi="Calibri"/>
          <w:b/>
          <w:bCs/>
          <w:color w:val="1F2933"/>
          <w:sz w:val="18"/>
          <w:szCs w:val="18"/>
        </w:rPr>
        <w:t xml:space="preserve">ECAM = SC5 − entreprise tierce</w:t>
      </w:r>
      <w:r>
        <w:rPr>
          <w:rFonts w:ascii="Calibri" w:cs="Calibri" w:eastAsia="Calibri" w:hAnsi="Calibri"/>
          <w:color w:val="1F2933"/>
          <w:sz w:val="18"/>
          <w:szCs w:val="18"/>
        </w:rPr>
        <w:t xml:space="preserve">. Plutôt que de soustraire cette consommation, poser le compteur en aval de la dérivation de sorte qu'il ne voie que l'ECAM : la soustraction disparaît.</w:t>
      </w:r>
    </w:p>
    <w:p>
      <w:pPr>
        <w:pBdr>
          <w:bottom w:val="single" w:color="C3CED4" w:sz="6" w:space="2"/>
        </w:pBdr>
        <w:spacing w:after="70" w:before="150"/>
      </w:pPr>
      <w:r>
        <w:rPr>
          <w:rFonts w:ascii="Calibri" w:cs="Calibri" w:eastAsia="Calibri" w:hAnsi="Calibri"/>
          <w:b/>
          <w:bCs/>
          <w:color w:val="0B5563"/>
          <w:sz w:val="21"/>
          <w:szCs w:val="21"/>
        </w:rPr>
        <w:t xml:space="preserve">5.  Travaux à mener</w:t>
      </w:r>
    </w:p>
    <w:p>
      <w:pPr>
        <w:spacing w:after="70" w:line="238"/>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cinq sous-compteurs remontent de façon fiable ; produire le schéma de propagation. Raccordement : le WiFi de l'ECAM pour l'exploitation, le partage de connexion téléphonique pour la seule campagne de mesures. Une passerelle en exploitation devant rester connectée en permanence, la demande d'accès est à déposer dès septembre ; un refus imposerait du filaire ou de la 4G.</w:t>
      </w:r>
    </w:p>
    <w:p>
      <w:pPr>
        <w:spacing w:after="70" w:line="238"/>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à chaque point le diamètre nominal, le type de raccord et la longueur droite disponible en amont et en aval, sans laquelle le compteur sort de sa classe de précision. Viser une classe R160 ou meilleure là où une détection de fuite est attendue : un compteur surdimensionné ne voit pas les petits débits, où se lisent les fuites.</w:t>
      </w:r>
    </w:p>
    <w:p>
      <w:pPr>
        <w:spacing w:after="70" w:line="238"/>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pose ; le devis porte sur la seule intervention, que des fonds DAISI peuvent financer. La spécification des compteurs nous incombe donc : diamètres relevés, longueurs droites disponibles, compatibilité avec les nœuds LoRaWAN. La sortie impulsion doit figurer explicitement à la commande — un compteur standard n'en comporte pas, et sans elle rien ne remonte.</w:t>
      </w:r>
    </w:p>
    <w:p>
      <w:pPr>
        <w:spacing w:after="70" w:line="238"/>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pas de second passage pour compléter une pose oubliée, d'où l'exigence d'un diagnostic exhaustif. Les vannes d'isolement sont déjà en place sur les points existants ; une seule reste à poser. Relever toutefois de quel côté se trouve chaque vanne : d'un seul côté, elle ne permet pas de déposer le compteur sans vidanger la portion opposée. L'ECAM devant faire réintervenir le plombier pour le S3, synchroniser les deux interventions est l'occasion à saisir.</w:t>
      </w:r>
    </w:p>
    <w:p>
      <w:pPr>
        <w:spacing w:after="70" w:line="238"/>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pour la visualisation comme pour le paramétrage à distance des nœuds.</w:t>
      </w:r>
    </w:p>
    <w:p>
      <w:pPr>
        <w:pBdr>
          <w:bottom w:val="single" w:color="C3CED4" w:sz="6" w:space="2"/>
        </w:pBdr>
        <w:spacing w:after="70" w:before="15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déjà de nœuds compteurs d'impulsions, ou seulement des passerelles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compteur de Maupertuis peut-il être posé en aval de la dérivation de l'entreprise tierce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Détermine la nécessité d'un sixième compteur, donc le budget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SC5 remplace-t-il le compteur du distributeur, ou s'y ajoute-t-il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Conditionne le recoupement des index avec la facture d'eau</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au service informatique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passe commande, sur quel budget, avec quel délai de validation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le délai de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suivi du minimum nocturne est-il retenu comme méthode de détection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méthode restant sensible malgré l'agrégation de cinq à six zones</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 précision est attendue sur le résidu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Il cumule les erreurs des cinq compteurs, alors qu'il porte la détection de fuite</w:t>
            </w:r>
          </w:p>
        </w:tc>
      </w:tr>
    </w:tbl>
    <w:p>
      <w:pPr>
        <w:pBdr>
          <w:bottom w:val="single" w:color="C3CED4" w:sz="6" w:space="2"/>
        </w:pBdr>
        <w:spacing w:after="70" w:before="15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cinq sous-compteurs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 bilan SC5 − (SC1 + SC2 + SC3 + SC4) est calculé et affiché, et son écart de bouclage est documenté et expliqué.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70" w:before="150"/>
      </w:pPr>
      <w:r>
        <w:rPr>
          <w:rFonts w:ascii="Calibri" w:cs="Calibri" w:eastAsia="Calibri" w:hAnsi="Calibri"/>
          <w:b/>
          <w:bCs/>
          <w:color w:val="0B5563"/>
          <w:sz w:val="21"/>
          <w:szCs w:val="21"/>
        </w:rPr>
        <w:t xml:space="preserve">8.  Validation</w:t>
      </w:r>
    </w:p>
    <w:p>
      <w:pPr>
        <w:spacing w:after="70" w:line="238"/>
      </w:pPr>
      <w:r>
        <w:rPr>
          <w:rFonts w:ascii="Calibri" w:cs="Calibri" w:eastAsia="Calibri" w:hAnsi="Calibri"/>
          <w:color w:val="1F2933"/>
          <w:sz w:val="18"/>
          <w:szCs w:val="18"/>
        </w:rPr>
        <w:t xml:space="preserve">Ce document restitue le cadrage des encadrants et le mail du 14/09. 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2026-09-16T07:52:56.945Z</dcterms:created>
  <dcterms:modified xsi:type="dcterms:W3CDTF">2026-09-16T07:52:56.945Z</dcterms:modified>
</cp:coreProperties>
</file>

<file path=docProps/custom.xml><?xml version="1.0" encoding="utf-8"?>
<Properties xmlns="http://schemas.openxmlformats.org/officeDocument/2006/custom-properties" xmlns:vt="http://schemas.openxmlformats.org/officeDocument/2006/docPropsVTypes"/>
</file>