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4"/>
          <w:szCs w:val="34"/>
        </w:rPr>
        <w:t xml:space="preserve">Expression des besoins</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Projet collaboratif DAISI  ·  Encadrants : Ivan Martinez et Denys Boiteau  ·  Livrable G1  ·  Version 1.0, à valider le 18/09/2026</w:t>
      </w:r>
    </w:p>
    <w:p>
      <w:pPr>
        <w:pBdr>
          <w:bottom w:val="single" w:color="C3CED4" w:sz="6" w:space="2"/>
        </w:pBdr>
        <w:spacing w:after="70" w:before="150"/>
      </w:pPr>
      <w:r>
        <w:rPr>
          <w:rFonts w:ascii="Calibri" w:cs="Calibri" w:eastAsia="Calibri" w:hAnsi="Calibri"/>
          <w:b/>
          <w:bCs/>
          <w:color w:val="0B5563"/>
          <w:sz w:val="21"/>
          <w:szCs w:val="21"/>
        </w:rPr>
        <w:t xml:space="preserve">1.  Besoin</w:t>
      </w:r>
    </w:p>
    <w:p>
      <w:pPr>
        <w:spacing w:after="70" w:line="238"/>
      </w:pPr>
      <w:r>
        <w:rPr>
          <w:rFonts w:ascii="Calibri" w:cs="Calibri" w:eastAsia="Calibri" w:hAnsi="Calibri"/>
          <w:color w:val="1F2933"/>
          <w:sz w:val="18"/>
          <w:szCs w:val="18"/>
        </w:rPr>
        <w:t xml:space="preserve">Mesurer et suivre la consommation d'eau de l'ECAM par zone d'usage, afin d'identifier les postes de consommation et de détecter les dérives. Les relevés sont transmis par LoRaWAN et exploités dans ChirpStack, pour la visualisation comme pour le paramétrage des nœuds.</w:t>
      </w:r>
    </w:p>
    <w:p>
      <w:pPr>
        <w:pBdr>
          <w:bottom w:val="single" w:color="C3CED4" w:sz="6" w:space="2"/>
        </w:pBdr>
        <w:spacing w:after="70" w:before="150"/>
      </w:pPr>
      <w:r>
        <w:rPr>
          <w:rFonts w:ascii="Calibri" w:cs="Calibri" w:eastAsia="Calibri" w:hAnsi="Calibri"/>
          <w:b/>
          <w:bCs/>
          <w:color w:val="0B5563"/>
          <w:sz w:val="21"/>
          <w:szCs w:val="21"/>
        </w:rPr>
        <w:t xml:space="preserve">2.  Moyens disponibles</w:t>
      </w:r>
    </w:p>
    <w:tbl>
      <w:tblPr>
        <w:tblW w:type="dxa" w:w="9746"/>
        <w:tblBorders>
          <w:top w:val="single" w:color="C3CED4" w:sz="2"/>
          <w:left w:val="none"/>
          <w:bottom w:val="single" w:color="C3CED4" w:sz="2"/>
          <w:right w:val="none"/>
          <w:insideH w:val="single" w:color="D9E1E5" w:sz="2"/>
          <w:insideV w:val="none"/>
        </w:tblBorders>
      </w:tblPr>
      <w:tblGrid>
        <w:gridCol w:w="3300"/>
        <w:gridCol w:w="2100"/>
        <w:gridCol w:w="4346"/>
      </w:tblGrid>
      <w:tr>
        <w:trPr>
          <w:tblHeader/>
        </w:trPr>
        <w:tc>
          <w:tcPr>
            <w:tcW w:type="dxa" w:w="33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Élément</w:t>
            </w:r>
          </w:p>
        </w:tc>
        <w:tc>
          <w:tcPr>
            <w:tcW w:type="dxa" w:w="2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Quantité</w:t>
            </w:r>
          </w:p>
        </w:tc>
        <w:tc>
          <w:tcPr>
            <w:tcW w:type="dxa" w:w="43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État</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Passerelles LoRaWAN</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3</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Déjà disponibles</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Sous-compteurs d'eau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5</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acheter</w:t>
            </w:r>
          </w:p>
        </w:tc>
      </w:tr>
      <w:tr>
        <w:tc>
          <w:tcPr>
            <w:tcW w:type="dxa" w:w="33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Nœuds compteurs d'impulsions</w:t>
            </w:r>
          </w:p>
        </w:tc>
        <w:tc>
          <w:tcPr>
            <w:tcW w:type="dxa" w:w="2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À confirmer</w:t>
            </w:r>
          </w:p>
        </w:tc>
        <w:tc>
          <w:tcPr>
            <w:tcW w:type="dxa" w:w="43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Voir question Q1</w:t>
            </w:r>
          </w:p>
        </w:tc>
      </w:tr>
      <w:tr>
        <w:tc>
          <w:tcPr>
            <w:tcW w:type="dxa" w:w="33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Serveur de réseau</w:t>
            </w:r>
          </w:p>
        </w:tc>
        <w:tc>
          <w:tcPr>
            <w:tcW w:type="dxa" w:w="2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ChirpStack</w:t>
            </w:r>
          </w:p>
        </w:tc>
        <w:tc>
          <w:tcPr>
            <w:tcW w:type="dxa" w:w="43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Décidé</w:t>
            </w:r>
          </w:p>
        </w:tc>
      </w:tr>
    </w:tbl>
    <w:p>
      <w:pPr>
        <w:spacing w:after="70" w:line="238"/>
      </w:pPr>
      <w:r>
        <w:rPr>
          <w:rFonts w:ascii="Calibri" w:cs="Calibri" w:eastAsia="Calibri" w:hAnsi="Calibri"/>
          <w:color w:val="1F2933"/>
          <w:sz w:val="18"/>
          <w:szCs w:val="18"/>
        </w:rPr>
        <w:t xml:space="preserve">Trois passerelles pour cinq points de comptage autorisent de la redondance radio : la contrainte porte sur le placement, non sur la couverture.</w:t>
      </w:r>
    </w:p>
    <w:p>
      <w:pPr>
        <w:pBdr>
          <w:bottom w:val="single" w:color="C3CED4" w:sz="6" w:space="2"/>
        </w:pBdr>
        <w:spacing w:after="70" w:before="150"/>
      </w:pPr>
      <w:r>
        <w:rPr>
          <w:rFonts w:ascii="Calibri" w:cs="Calibri" w:eastAsia="Calibri" w:hAnsi="Calibri"/>
          <w:b/>
          <w:bCs/>
          <w:color w:val="0B5563"/>
          <w:sz w:val="21"/>
          <w:szCs w:val="21"/>
        </w:rPr>
        <w:t xml:space="preserve">3.  Périmètre : affectation des sous-compteurs</w:t>
      </w:r>
    </w:p>
    <w:p>
      <w:pPr>
        <w:spacing w:after="70" w:line="238"/>
      </w:pPr>
      <w:r>
        <w:rPr>
          <w:rFonts w:ascii="Calibri" w:cs="Calibri" w:eastAsia="Calibri" w:hAnsi="Calibri"/>
          <w:color w:val="1F2933"/>
          <w:sz w:val="18"/>
          <w:szCs w:val="18"/>
        </w:rPr>
        <w:t xml:space="preserve">Découpage issu de l'étude des circulations menée par les encadrants (mail du 14/09/2026) : une vanne et quatre sous-compteurs, plus l'arrivée générale.</w:t>
      </w:r>
    </w:p>
    <w:tbl>
      <w:tblPr>
        <w:tblW w:type="dxa" w:w="9746"/>
        <w:tblBorders>
          <w:top w:val="single" w:color="C3CED4" w:sz="2"/>
          <w:left w:val="none"/>
          <w:bottom w:val="single" w:color="C3CED4" w:sz="2"/>
          <w:right w:val="none"/>
          <w:insideH w:val="single" w:color="D9E1E5" w:sz="2"/>
          <w:insideV w:val="none"/>
        </w:tblBorders>
      </w:tblPr>
      <w:tblGrid>
        <w:gridCol w:w="900"/>
        <w:gridCol w:w="3100"/>
        <w:gridCol w:w="5746"/>
      </w:tblGrid>
      <w:tr>
        <w:trPr>
          <w:tblHeader/>
        </w:trPr>
        <w:tc>
          <w:tcPr>
            <w:tcW w:type="dxa" w:w="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Repère</w:t>
            </w:r>
          </w:p>
        </w:tc>
        <w:tc>
          <w:tcPr>
            <w:tcW w:type="dxa" w:w="31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Zone couverte</w:t>
            </w:r>
          </w:p>
        </w:tc>
        <w:tc>
          <w:tcPr>
            <w:tcW w:type="dxa" w:w="57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Point d'attention</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SC1</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Annexe / NE</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la cuisine et l'appartement</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SC2</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Cafétéria</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 priori le bar et les toilettes principales</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SC3</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S4</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Toilettes et lavabos des salles de TP</w:t>
            </w:r>
          </w:p>
        </w:tc>
      </w:tr>
      <w:tr>
        <w:tc>
          <w:tcPr>
            <w:tcW w:type="dxa" w:w="900"/>
            <w:shd w:fill="FDF3E7"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SC4</w:t>
            </w:r>
          </w:p>
        </w:tc>
        <w:tc>
          <w:tcPr>
            <w:tcW w:type="dxa" w:w="3100"/>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Maupertuis (= S1)</w:t>
            </w:r>
          </w:p>
        </w:tc>
        <w:tc>
          <w:tcPr>
            <w:tcW w:type="dxa" w:w="5746"/>
            <w:shd w:fill="FDF3E7"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Comporte la dérivation d'une entreprise tierce</w:t>
            </w:r>
          </w:p>
        </w:tc>
      </w:tr>
      <w:tr>
        <w:tc>
          <w:tcPr>
            <w:tcW w:type="dxa" w:w="9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SC5</w:t>
            </w:r>
          </w:p>
        </w:tc>
        <w:tc>
          <w:tcPr>
            <w:tcW w:type="dxa" w:w="31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Arrivée générale de l'ECAM</w:t>
            </w:r>
          </w:p>
        </w:tc>
        <w:tc>
          <w:tcPr>
            <w:tcW w:type="dxa" w:w="57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Index total télérelevé</w:t>
            </w:r>
          </w:p>
        </w:tc>
      </w:tr>
      <w:tr>
        <w:tc>
          <w:tcPr>
            <w:tcW w:type="dxa" w:w="9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V1</w:t>
            </w:r>
          </w:p>
        </w:tc>
        <w:tc>
          <w:tcPr>
            <w:tcW w:type="dxa" w:w="31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Vanne d'isolement</w:t>
            </w:r>
          </w:p>
        </w:tc>
        <w:tc>
          <w:tcPr>
            <w:tcW w:type="dxa" w:w="57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Une seule à poser ; les autres points sont déjà équipés</w:t>
            </w:r>
          </w:p>
        </w:tc>
      </w:tr>
    </w:tbl>
    <w:p>
      <w:pPr>
        <w:spacing w:after="70" w:line="238"/>
      </w:pPr>
      <w:r>
        <w:rPr>
          <w:rFonts w:ascii="Calibri" w:cs="Calibri" w:eastAsia="Calibri" w:hAnsi="Calibri"/>
          <w:b/>
          <w:bCs/>
          <w:color w:val="1F2933"/>
          <w:sz w:val="18"/>
          <w:szCs w:val="18"/>
        </w:rPr>
        <w:t xml:space="preserve">Le S2 et le S3 ne sont pas équipés</w:t>
      </w:r>
      <w:r>
        <w:rPr>
          <w:rFonts w:ascii="Calibri" w:cs="Calibri" w:eastAsia="Calibri" w:hAnsi="Calibri"/>
          <w:color w:val="1F2933"/>
          <w:sz w:val="18"/>
          <w:szCs w:val="18"/>
        </w:rPr>
        <w:t xml:space="preserve"> : leur consommation est obtenue par différence, dans le résidu. C'est le cas de l'écoulement constant du S3, à l'origine du projet — détecté, mais non localisé entre les deux zones.</w:t>
      </w:r>
    </w:p>
    <w:p>
      <w:pPr>
        <w:pBdr>
          <w:bottom w:val="single" w:color="C3CED4" w:sz="6" w:space="2"/>
        </w:pBdr>
        <w:spacing w:after="70" w:before="150"/>
      </w:pPr>
      <w:r>
        <w:rPr>
          <w:rFonts w:ascii="Calibri" w:cs="Calibri" w:eastAsia="Calibri" w:hAnsi="Calibri"/>
          <w:b/>
          <w:bCs/>
          <w:color w:val="0B5563"/>
          <w:sz w:val="21"/>
          <w:szCs w:val="21"/>
        </w:rPr>
        <w:t xml:space="preserve">4.  Calcul du poste non sous-compté</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90"/>
              <w:left w:type="dxa" w:w="160"/>
              <w:bottom w:type="dxa" w:w="90"/>
              <w:right w:type="dxa" w:w="120"/>
            </w:tcMar>
          </w:tcPr>
          <w:p>
            <w:pPr>
              <w:spacing w:after="0" w:line="240"/>
              <w:jc w:val="center"/>
            </w:pPr>
            <w:r>
              <w:rPr>
                <w:rFonts w:ascii="Consolas" w:cs="Consolas" w:eastAsia="Consolas" w:hAnsi="Consolas"/>
                <w:b/>
                <w:bCs/>
                <w:color w:val="0B5563"/>
                <w:sz w:val="20"/>
                <w:szCs w:val="20"/>
              </w:rPr>
              <w:t xml:space="preserve">Résidu  =  SC5  −  ( SC1 + SC2 + SC3 + SC4 )</w:t>
            </w:r>
          </w:p>
        </w:tc>
      </w:tr>
    </w:tbl>
    <w:p>
      <w:pPr>
        <w:spacing w:after="80"/>
      </w:pPr>
    </w:p>
    <w:p>
      <w:pPr>
        <w:spacing w:after="70" w:line="238"/>
      </w:pPr>
      <w:r>
        <w:rPr>
          <w:rFonts w:ascii="Calibri" w:cs="Calibri" w:eastAsia="Calibri" w:hAnsi="Calibri"/>
          <w:color w:val="1F2933"/>
          <w:sz w:val="18"/>
          <w:szCs w:val="18"/>
        </w:rPr>
        <w:t xml:space="preserve">SC5 étant l'arrivée générale, la formule ne porte que sur les quatre sous-compteurs de zone. </w:t>
      </w:r>
      <w:r>
        <w:rPr>
          <w:rFonts w:ascii="Calibri" w:cs="Calibri" w:eastAsia="Calibri" w:hAnsi="Calibri"/>
          <w:b/>
          <w:bCs/>
          <w:color w:val="1F2933"/>
          <w:sz w:val="18"/>
          <w:szCs w:val="18"/>
        </w:rPr>
        <w:t xml:space="preserve">Ce résidu n'est pas la consommation des toilettes</w:t>
      </w:r>
      <w:r>
        <w:rPr>
          <w:rFonts w:ascii="Calibri" w:cs="Calibri" w:eastAsia="Calibri" w:hAnsi="Calibri"/>
          <w:color w:val="1F2933"/>
          <w:sz w:val="18"/>
          <w:szCs w:val="18"/>
        </w:rPr>
        <w:t xml:space="preserve"> : il agrège le S2 et le S3, non équipés, les usages divers non comptés et les fuites du réseau. Il est donc désigné « non sous-compté » dans ChirpStack et dans les rapports. Un résidu qui ne redescend pas la nuit signale une fuite, et non un usage — c'est précisément ce que le projet doit détecter.</w:t>
      </w:r>
    </w:p>
    <w:p>
      <w:pPr>
        <w:spacing w:after="70" w:line="238"/>
      </w:pPr>
      <w:r>
        <w:rPr>
          <w:rFonts w:ascii="Calibri" w:cs="Calibri" w:eastAsia="Calibri" w:hAnsi="Calibri"/>
          <w:color w:val="1F2933"/>
          <w:sz w:val="18"/>
          <w:szCs w:val="18"/>
        </w:rPr>
        <w:t xml:space="preserve">Consommation propre à l'ECAM : </w:t>
      </w:r>
      <w:r>
        <w:rPr>
          <w:rFonts w:ascii="Calibri" w:cs="Calibri" w:eastAsia="Calibri" w:hAnsi="Calibri"/>
          <w:b/>
          <w:bCs/>
          <w:color w:val="1F2933"/>
          <w:sz w:val="18"/>
          <w:szCs w:val="18"/>
        </w:rPr>
        <w:t xml:space="preserve">ECAM = SC5 − entreprise tierce</w:t>
      </w:r>
      <w:r>
        <w:rPr>
          <w:rFonts w:ascii="Calibri" w:cs="Calibri" w:eastAsia="Calibri" w:hAnsi="Calibri"/>
          <w:color w:val="1F2933"/>
          <w:sz w:val="18"/>
          <w:szCs w:val="18"/>
        </w:rPr>
        <w:t xml:space="preserve">. Plutôt que de soustraire cette consommation, qu'il faudrait connaître, poser le compteur en aval de la dérivation de sorte qu'il ne voie que l'ECAM : la soustraction disparaît. À défaut, un sixième compteur est nécessaire.</w:t>
      </w:r>
    </w:p>
    <w:p>
      <w:pPr>
        <w:pBdr>
          <w:bottom w:val="single" w:color="C3CED4" w:sz="6" w:space="2"/>
        </w:pBdr>
        <w:spacing w:after="70" w:before="150"/>
      </w:pPr>
      <w:r>
        <w:rPr>
          <w:rFonts w:ascii="Calibri" w:cs="Calibri" w:eastAsia="Calibri" w:hAnsi="Calibri"/>
          <w:b/>
          <w:bCs/>
          <w:color w:val="0B5563"/>
          <w:sz w:val="21"/>
          <w:szCs w:val="21"/>
        </w:rPr>
        <w:t xml:space="preserve">5.  Travaux à mener</w:t>
      </w:r>
    </w:p>
    <w:p>
      <w:pPr>
        <w:spacing w:after="70" w:line="238"/>
      </w:pPr>
      <w:r>
        <w:rPr>
          <w:rFonts w:ascii="Calibri" w:cs="Calibri" w:eastAsia="Calibri" w:hAnsi="Calibri"/>
          <w:b/>
          <w:bCs/>
          <w:color w:val="1F2933"/>
          <w:sz w:val="18"/>
          <w:szCs w:val="18"/>
        </w:rPr>
        <w:t xml:space="preserve">a.  Étude de propagation et placement des passerelles. </w:t>
      </w:r>
      <w:r>
        <w:rPr>
          <w:rFonts w:ascii="Calibri" w:cs="Calibri" w:eastAsia="Calibri" w:hAnsi="Calibri"/>
          <w:color w:val="1F2933"/>
          <w:sz w:val="18"/>
          <w:szCs w:val="18"/>
        </w:rPr>
        <w:t xml:space="preserve">Positionner les trois passerelles de sorte que les cinq sous-compteurs remontent leurs données de façon fiable ; produire le schéma de propagation. Raccordement réseau : le WiFi de l'ECAM pour l'exploitation, le partage de connexion téléphonique pour la seule campagne de mesures. Une passerelle en exploitation devant rester connectée en permanence, la demande d'accès est à déposer dès septembre ; un refus imposerait du filaire ou de la 4G, à budgéter.</w:t>
      </w:r>
    </w:p>
    <w:p>
      <w:pPr>
        <w:spacing w:after="70" w:line="238"/>
      </w:pPr>
      <w:r>
        <w:rPr>
          <w:rFonts w:ascii="Calibri" w:cs="Calibri" w:eastAsia="Calibri" w:hAnsi="Calibri"/>
          <w:b/>
          <w:bCs/>
          <w:color w:val="1F2933"/>
          <w:sz w:val="18"/>
          <w:szCs w:val="18"/>
        </w:rPr>
        <w:t xml:space="preserve">b.  Relevé des canalisations. </w:t>
      </w:r>
      <w:r>
        <w:rPr>
          <w:rFonts w:ascii="Calibri" w:cs="Calibri" w:eastAsia="Calibri" w:hAnsi="Calibri"/>
          <w:color w:val="1F2933"/>
          <w:sz w:val="18"/>
          <w:szCs w:val="18"/>
        </w:rPr>
        <w:t xml:space="preserve">Relever à chaque point le diamètre nominal, le type de raccord et la longueur droite disponible en amont et en aval, sans laquelle le compteur sort de sa classe de précision. Viser une classe R160 ou meilleure là où une détection de fuite est attendue : un compteur surdimensionné ne voit pas les petits débits, où se lisent les fuites.</w:t>
      </w:r>
    </w:p>
    <w:p>
      <w:pPr>
        <w:spacing w:after="70" w:line="238"/>
      </w:pPr>
      <w:r>
        <w:rPr>
          <w:rFonts w:ascii="Calibri" w:cs="Calibri" w:eastAsia="Calibri" w:hAnsi="Calibri"/>
          <w:b/>
          <w:bCs/>
          <w:color w:val="1F2933"/>
          <w:sz w:val="18"/>
          <w:szCs w:val="18"/>
        </w:rPr>
        <w:t xml:space="preserve">c.  Achat et devis. </w:t>
      </w:r>
      <w:r>
        <w:rPr>
          <w:rFonts w:ascii="Calibri" w:cs="Calibri" w:eastAsia="Calibri" w:hAnsi="Calibri"/>
          <w:color w:val="1F2933"/>
          <w:sz w:val="18"/>
          <w:szCs w:val="18"/>
        </w:rPr>
        <w:t xml:space="preserve">Décidé : l'ECAM achète le matériel, le plombier réalise la pose ; le devis demandé porte sur la seule intervention, que des fonds DAISI peuvent contribuer à financer. La spécification des compteurs nous incombe donc : compatibilité avec les diamètres relevés, avec les longueurs droites disponibles et avec les nœuds LoRaWAN. La sortie impulsion doit figurer explicitement à la commande — un compteur d'eau standard n'en comporte pas, et sans elle rien ne remonte.</w:t>
      </w:r>
    </w:p>
    <w:p>
      <w:pPr>
        <w:spacing w:after="70" w:line="238"/>
      </w:pPr>
      <w:r>
        <w:rPr>
          <w:rFonts w:ascii="Calibri" w:cs="Calibri" w:eastAsia="Calibri" w:hAnsi="Calibri"/>
          <w:b/>
          <w:bCs/>
          <w:color w:val="1F2933"/>
          <w:sz w:val="18"/>
          <w:szCs w:val="18"/>
        </w:rPr>
        <w:t xml:space="preserve">d.  Contrainte majeure : la vidange complète. </w:t>
      </w:r>
      <w:r>
        <w:rPr>
          <w:rFonts w:ascii="Calibri" w:cs="Calibri" w:eastAsia="Calibri" w:hAnsi="Calibri"/>
          <w:color w:val="1F2933"/>
          <w:sz w:val="18"/>
          <w:szCs w:val="18"/>
        </w:rPr>
        <w:t xml:space="preserve">Toute intervention impose de vidanger l'ECAM en totalité : pas de second passage pour compléter une pose oubliée, d'où l'exigence d'un diagnostic exhaustif. Les vannes d'isolement sont déjà en place sur les points existants ; une seule reste à poser. Relever toutefois de quel côté se trouve chaque vanne : d'un seul côté, elle ne permet pas de déposer le compteur sans vidanger la portion opposée. L'ECAM devant faire réintervenir le plombier pour le S3, synchroniser les deux interventions est l'occasion à saisir.</w:t>
      </w:r>
    </w:p>
    <w:p>
      <w:pPr>
        <w:spacing w:after="70" w:line="238"/>
      </w:pPr>
      <w:r>
        <w:rPr>
          <w:rFonts w:ascii="Calibri" w:cs="Calibri" w:eastAsia="Calibri" w:hAnsi="Calibri"/>
          <w:b/>
          <w:bCs/>
          <w:color w:val="1F2933"/>
          <w:sz w:val="18"/>
          <w:szCs w:val="18"/>
        </w:rPr>
        <w:t xml:space="preserve">e.  Remontée des données. </w:t>
      </w:r>
      <w:r>
        <w:rPr>
          <w:rFonts w:ascii="Calibri" w:cs="Calibri" w:eastAsia="Calibri" w:hAnsi="Calibri"/>
          <w:color w:val="1F2933"/>
          <w:sz w:val="18"/>
          <w:szCs w:val="18"/>
        </w:rPr>
        <w:t xml:space="preserve">Collecter les relevés par LoRaWAN et les exploiter dans ChirpStack, pour la visualisation comme pour le paramétrage à distance des nœuds.</w:t>
      </w:r>
    </w:p>
    <w:p>
      <w:pPr>
        <w:pBdr>
          <w:bottom w:val="single" w:color="C3CED4" w:sz="6" w:space="2"/>
        </w:pBdr>
        <w:spacing w:after="70" w:before="150"/>
      </w:pPr>
      <w:r>
        <w:rPr>
          <w:rFonts w:ascii="Calibri" w:cs="Calibri" w:eastAsia="Calibri" w:hAnsi="Calibri"/>
          <w:b/>
          <w:bCs/>
          <w:color w:val="0B5563"/>
          <w:sz w:val="21"/>
          <w:szCs w:val="21"/>
        </w:rPr>
        <w:t xml:space="preserve">6.  Questions ouvertes</w:t>
      </w:r>
    </w:p>
    <w:tbl>
      <w:tblPr>
        <w:tblW w:type="dxa" w:w="9746"/>
        <w:tblBorders>
          <w:top w:val="single" w:color="C3CED4" w:sz="2"/>
          <w:left w:val="none"/>
          <w:bottom w:val="single" w:color="C3CED4" w:sz="2"/>
          <w:right w:val="none"/>
          <w:insideH w:val="single" w:color="D9E1E5" w:sz="2"/>
          <w:insideV w:val="none"/>
        </w:tblBorders>
      </w:tblPr>
      <w:tblGrid>
        <w:gridCol w:w="620"/>
        <w:gridCol w:w="4680"/>
        <w:gridCol w:w="4446"/>
      </w:tblGrid>
      <w:tr>
        <w:trPr>
          <w:tblHeader/>
        </w:trPr>
        <w:tc>
          <w:tcPr>
            <w:tcW w:type="dxa" w:w="62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
            </w:r>
          </w:p>
        </w:tc>
        <w:tc>
          <w:tcPr>
            <w:tcW w:type="dxa" w:w="468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Question</w:t>
            </w:r>
          </w:p>
        </w:tc>
        <w:tc>
          <w:tcPr>
            <w:tcW w:type="dxa" w:w="44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Pourquoi c'est bloquant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Q1</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Disposons-nous déjà de nœuds compteurs d'impulsions, ou seulement des passerelles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Sans nœud, la campagne de mesures de novembre est impossible</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Q2</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Le compteur de Maupertuis peut-il être posé en aval de la dérivation de l'entreprise tierce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Détermine la nécessité d'un sixième compteur, donc le budget</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Q3</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SC5 remplace-t-il le compteur du distributeur, ou s'y ajoute-t-il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Conditionne le recoupement des index avec la facture d'eau</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Q4</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La demande d'accès WiFi au service informatique est-elle déposée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Chemin critique ; un refus impose du filaire ou de la 4G</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Q5</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Qui passe commande, sur quel budget, avec quel délai de validation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Des fonds DAISI existent ; le circuit d'achat conditionne le délai de livraison</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Q6</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Quelles dates de diagnostic et d'intervention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Si l'intervention a lieu aux vacances de la Toussaint, tout doit être livré avant le 9 octobre</w:t>
            </w:r>
          </w:p>
        </w:tc>
      </w:tr>
      <w:tr>
        <w:tc>
          <w:tcPr>
            <w:tcW w:type="dxa" w:w="620"/>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Q7</w:t>
            </w:r>
          </w:p>
        </w:tc>
        <w:tc>
          <w:tcPr>
            <w:tcW w:type="dxa" w:w="4680"/>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Est-il acceptable que le S2 et le S3 ne soient pas distingués dans le résidu ?</w:t>
            </w:r>
          </w:p>
        </w:tc>
        <w:tc>
          <w:tcPr>
            <w:tcW w:type="dxa" w:w="4446"/>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Une fuite y est détectée, mais non localisée entre les deux zones</w:t>
            </w:r>
          </w:p>
        </w:tc>
      </w:tr>
      <w:tr>
        <w:tc>
          <w:tcPr>
            <w:tcW w:type="dxa" w:w="620"/>
            <w:shd w:fill="EDF2F4" w:val="clear"/>
            <w:tcMar>
              <w:top w:type="dxa" w:w="55"/>
              <w:left w:type="dxa" w:w="90"/>
              <w:bottom w:type="dxa" w:w="55"/>
              <w:right w:type="dxa" w:w="90"/>
            </w:tcMar>
          </w:tcPr>
          <w:p>
            <w:pPr>
              <w:spacing w:after="0" w:line="230"/>
            </w:pPr>
            <w:r>
              <w:rPr>
                <w:rFonts w:ascii="Calibri" w:cs="Calibri" w:eastAsia="Calibri" w:hAnsi="Calibri"/>
                <w:b/>
                <w:bCs/>
                <w:color w:val="1F2933"/>
                <w:sz w:val="16"/>
                <w:szCs w:val="16"/>
              </w:rPr>
              <w:t xml:space="preserve">Q8</w:t>
            </w:r>
          </w:p>
        </w:tc>
        <w:tc>
          <w:tcPr>
            <w:tcW w:type="dxa" w:w="468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Quelle précision est attendue sur le résidu ?</w:t>
            </w:r>
          </w:p>
        </w:tc>
        <w:tc>
          <w:tcPr>
            <w:tcW w:type="dxa" w:w="44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6"/>
                <w:szCs w:val="16"/>
              </w:rPr>
              <w:t xml:space="preserve">Il cumule les erreurs des cinq compteurs, alors qu'il porte la détection de fuite</w:t>
            </w:r>
          </w:p>
        </w:tc>
      </w:tr>
    </w:tbl>
    <w:p>
      <w:pPr>
        <w:pBdr>
          <w:bottom w:val="single" w:color="C3CED4" w:sz="6" w:space="2"/>
        </w:pBdr>
        <w:spacing w:after="70" w:before="150"/>
      </w:pPr>
      <w:r>
        <w:rPr>
          <w:rFonts w:ascii="Calibri" w:cs="Calibri" w:eastAsia="Calibri" w:hAnsi="Calibri"/>
          <w:b/>
          <w:bCs/>
          <w:color w:val="0B5563"/>
          <w:sz w:val="21"/>
          <w:szCs w:val="21"/>
        </w:rPr>
        <w:t xml:space="preserve">7.  Critères de réussite proposés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cinq sous-compteurs remontent un index au pas horaire dans ChirpStack, avec un taux de messages reçus supérieur à 95 % sur quinze jours consécutifs.</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trois passerelles sont raccordées de façon pérenne, sans partage de connexion téléphonique.</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 bilan SC5 − (SC1 + SC2 + SC3 + SC4) est calculé et affiché, et son écart de bouclage est documenté et expliqué.</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Les paramètres des nœuds sont modifiables à distance depuis ChirpStack.</w:t>
      </w:r>
    </w:p>
    <w:p>
      <w:pPr>
        <w:spacing w:after="60" w:line="235"/>
        <w:ind w:left="200" w:hanging="160"/>
      </w:pPr>
      <w:r>
        <w:rPr>
          <w:rFonts w:ascii="Calibri" w:cs="Calibri" w:eastAsia="Calibri" w:hAnsi="Calibri"/>
          <w:color w:val="1F2933"/>
          <w:sz w:val="18"/>
          <w:szCs w:val="18"/>
        </w:rPr>
        <w:t xml:space="preserve">— </w:t>
      </w:r>
      <w:r>
        <w:rPr>
          <w:rFonts w:ascii="Calibri" w:cs="Calibri" w:eastAsia="Calibri" w:hAnsi="Calibri"/>
          <w:color w:val="1F2933"/>
          <w:sz w:val="18"/>
          <w:szCs w:val="18"/>
        </w:rPr>
        <w:t xml:space="preserve">La procédure d'installation est documentée de façon à être reproduite sur un autre site, conformément à l'objectif DAISI.</w:t>
      </w:r>
    </w:p>
    <w:p>
      <w:pPr>
        <w:pBdr>
          <w:bottom w:val="single" w:color="C3CED4" w:sz="6" w:space="2"/>
        </w:pBdr>
        <w:spacing w:after="70" w:before="150"/>
      </w:pPr>
      <w:r>
        <w:rPr>
          <w:rFonts w:ascii="Calibri" w:cs="Calibri" w:eastAsia="Calibri" w:hAnsi="Calibri"/>
          <w:b/>
          <w:bCs/>
          <w:color w:val="0B5563"/>
          <w:sz w:val="21"/>
          <w:szCs w:val="21"/>
        </w:rPr>
        <w:t xml:space="preserve">8.  Validation</w:t>
      </w:r>
    </w:p>
    <w:p>
      <w:pPr>
        <w:spacing w:after="70" w:line="238"/>
      </w:pPr>
      <w:r>
        <w:rPr>
          <w:rFonts w:ascii="Calibri" w:cs="Calibri" w:eastAsia="Calibri" w:hAnsi="Calibri"/>
          <w:color w:val="1F2933"/>
          <w:sz w:val="18"/>
          <w:szCs w:val="18"/>
        </w:rPr>
        <w:t xml:space="preserve">Ce document restitue le cadrage des encadrants et le mail du 14/09. Les points signalés en section 3 et les questions de la section 6 sont soumis à validation.</w:t>
      </w:r>
    </w:p>
    <w:tbl>
      <w:tblPr>
        <w:tblW w:type="dxa" w:w="9746"/>
        <w:tblBorders>
          <w:top w:val="single" w:color="C3CED4" w:sz="2"/>
          <w:left w:val="none"/>
          <w:bottom w:val="single" w:color="C3CED4" w:sz="2"/>
          <w:right w:val="none"/>
          <w:insideH w:val="single" w:color="D9E1E5" w:sz="2"/>
          <w:insideV w:val="none"/>
        </w:tblBorders>
      </w:tblPr>
      <w:tblGrid>
        <w:gridCol w:w="2400"/>
        <w:gridCol w:w="2900"/>
        <w:gridCol w:w="2200"/>
        <w:gridCol w:w="2246"/>
      </w:tblGrid>
      <w:tr>
        <w:trPr>
          <w:tblHeader/>
        </w:trPr>
        <w:tc>
          <w:tcPr>
            <w:tcW w:type="dxa" w:w="24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Rôle</w:t>
            </w:r>
          </w:p>
        </w:tc>
        <w:tc>
          <w:tcPr>
            <w:tcW w:type="dxa" w:w="29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Nom</w:t>
            </w:r>
          </w:p>
        </w:tc>
        <w:tc>
          <w:tcPr>
            <w:tcW w:type="dxa" w:w="2200"/>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Date</w:t>
            </w:r>
          </w:p>
        </w:tc>
        <w:tc>
          <w:tcPr>
            <w:tcW w:type="dxa" w:w="2246"/>
            <w:shd w:fill="0B5563" w:val="clear"/>
            <w:tcMar>
              <w:top w:type="dxa" w:w="55"/>
              <w:left w:type="dxa" w:w="90"/>
              <w:bottom w:type="dxa" w:w="55"/>
              <w:right w:type="dxa" w:w="90"/>
            </w:tcMar>
          </w:tcPr>
          <w:p>
            <w:pPr>
              <w:spacing w:after="0" w:line="230"/>
            </w:pPr>
            <w:r>
              <w:rPr>
                <w:rFonts w:ascii="Calibri" w:cs="Calibri" w:eastAsia="Calibri" w:hAnsi="Calibri"/>
                <w:b/>
                <w:bCs/>
                <w:color w:val="FFFFFF"/>
                <w:sz w:val="17"/>
                <w:szCs w:val="17"/>
              </w:rPr>
              <w:t xml:space="preserve">Visa</w:t>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Rédigé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Paul Thiboult et Lilian Grot</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shd w:fill="EDF2F4" w:val="clear"/>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Ivan Martinez</w:t>
            </w:r>
          </w:p>
        </w:tc>
        <w:tc>
          <w:tcPr>
            <w:tcW w:type="dxa" w:w="2200"/>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shd w:fill="EDF2F4" w:val="clear"/>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r>
        <w:trPr>
          <w:trHeight w:val="330" w:hRule="atLeast"/>
        </w:trPr>
        <w:tc>
          <w:tcPr>
            <w:tcW w:type="dxa" w:w="2400"/>
            <w:tcMar>
              <w:top w:type="dxa" w:w="55"/>
              <w:left w:type="dxa" w:w="90"/>
              <w:bottom w:type="dxa" w:w="55"/>
              <w:right w:type="dxa" w:w="90"/>
            </w:tcMar>
          </w:tcPr>
          <w:p>
            <w:pPr>
              <w:spacing w:after="0" w:line="230"/>
            </w:pPr>
            <w:r>
              <w:rPr>
                <w:rFonts w:ascii="Calibri" w:cs="Calibri" w:eastAsia="Calibri" w:hAnsi="Calibri"/>
                <w:b/>
                <w:bCs/>
                <w:color w:val="1F2933"/>
                <w:sz w:val="17"/>
                <w:szCs w:val="17"/>
              </w:rPr>
              <w:t xml:space="preserve">Approuvé par</w:t>
            </w:r>
          </w:p>
        </w:tc>
        <w:tc>
          <w:tcPr>
            <w:tcW w:type="dxa" w:w="29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Denys Boiteau</w:t>
            </w:r>
          </w:p>
        </w:tc>
        <w:tc>
          <w:tcPr>
            <w:tcW w:type="dxa" w:w="2200"/>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c>
          <w:tcPr>
            <w:tcW w:type="dxa" w:w="2246"/>
            <w:tcMar>
              <w:top w:type="dxa" w:w="55"/>
              <w:left w:type="dxa" w:w="90"/>
              <w:bottom w:type="dxa" w:w="55"/>
              <w:right w:type="dxa" w:w="90"/>
            </w:tcMar>
          </w:tcPr>
          <w:p>
            <w:pPr>
              <w:spacing w:after="0" w:line="230"/>
            </w:pPr>
            <w:r>
              <w:rPr>
                <w:rFonts w:ascii="Calibri" w:cs="Calibri" w:eastAsia="Calibri" w:hAnsi="Calibri"/>
                <w:b w:val="false"/>
                <w:bCs w:val="false"/>
                <w:color w:val="1F2933"/>
                <w:sz w:val="17"/>
                <w:szCs w:val="17"/>
              </w:rPr>
              <w:t xml:space="preserve"/>
            </w:r>
          </w:p>
        </w:tc>
      </w:tr>
    </w:tbl>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2026-09-16T07:49:25.342Z</dcterms:created>
  <dcterms:modified xsi:type="dcterms:W3CDTF">2026-09-16T07:49:25.342Z</dcterms:modified>
</cp:coreProperties>
</file>

<file path=docProps/custom.xml><?xml version="1.0" encoding="utf-8"?>
<Properties xmlns="http://schemas.openxmlformats.org/officeDocument/2006/custom-properties" xmlns:vt="http://schemas.openxmlformats.org/officeDocument/2006/docPropsVTypes"/>
</file>