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4"/>
          <w:szCs w:val="34"/>
        </w:rPr>
        <w:t xml:space="preserve">État de l'art</w:t>
      </w:r>
    </w:p>
    <w:p>
      <w:pPr>
        <w:spacing w:after="60"/>
      </w:pPr>
      <w:r>
        <w:rPr>
          <w:rFonts w:ascii="Calibri" w:cs="Calibri" w:eastAsia="Calibri" w:hAnsi="Calibri"/>
          <w:color w:val="5B6770"/>
          <w:sz w:val="22"/>
          <w:szCs w:val="22"/>
        </w:rPr>
        <w:t xml:space="preserve">Suivi de la consommation d'eau à l'ECAM par réseau LoRaWAN</w:t>
      </w:r>
    </w:p>
    <w:p>
      <w:pPr>
        <w:pBdr>
          <w:bottom w:val="single" w:color="0B5563" w:sz="12" w:space="6"/>
        </w:pBdr>
        <w:spacing w:after="17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Projet collaboratif DAISI  ·  Livrable T1  ·  Paul Thiboult et Lilian Grot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1.  Objet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Ce document recense les technologies disponibles pour le comptage et la télérelève de l'eau, et justifie les choix retenus pour le projet. Il ne vise pas l'exhaustivité : chaque section retient ce qui conditionne une décision.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2.  Mesurer l'eau : ce qui conditionne la détection de fuite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Un établissement ne dispose en général que d'un point de mesure, le compteur du distributeur, relevé à la période de facturation. Le sous-comptage répartit la consommation par zone ; détecter une fuite exige en outre un relevé fréquent, au pas horaire ou mieux.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Une fuite de bâtiment — typiquement une chasse d'eau qui coule — est invisible à l'usage mais possède deux propriétés qui la rendent détectable par la mesure : elle est continue, y compris la nuit, et stable, donc elle décale le niveau de base sans déformer le profil de consommation.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2.1  La classe métrologique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Un compteur n'a pas une précision uniforme sur toute sa plage. Il est caractérisé par le rapport R = Q3/Q1, normalisé par EN ISO 4064 et OIML R49 [1] et repris par la directive MID [2]. Les valeurs normalisées sont R40, R80, R160, R200, R400, R630 et R1000 ; R160 correspond à l'ancienne classe C.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1500"/>
        <w:gridCol w:w="4200"/>
        <w:gridCol w:w="4046"/>
      </w:tblGrid>
      <w:tr>
        <w:trPr>
          <w:tblHeader/>
        </w:trPr>
        <w:tc>
          <w:tcPr>
            <w:tcW w:type="dxa" w:w="15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Débit</w:t>
            </w:r>
          </w:p>
        </w:tc>
        <w:tc>
          <w:tcPr>
            <w:tcW w:type="dxa" w:w="4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Définition</w:t>
            </w:r>
          </w:p>
        </w:tc>
        <w:tc>
          <w:tcPr>
            <w:tcW w:type="dxa" w:w="40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Q1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minimal garanti</w:t>
            </w:r>
          </w:p>
        </w:tc>
        <w:tc>
          <w:tcPr>
            <w:tcW w:type="dxa" w:w="40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Q3 / R</w:t>
            </w:r>
          </w:p>
        </w:tc>
      </w:tr>
      <w:tr>
        <w:tc>
          <w:tcPr>
            <w:tcW w:type="dxa" w:w="15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Q2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de transition</w:t>
            </w:r>
          </w:p>
        </w:tc>
        <w:tc>
          <w:tcPr>
            <w:tcW w:type="dxa" w:w="40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1,6 × Q1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Q3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permanent</w:t>
            </w:r>
          </w:p>
        </w:tc>
        <w:tc>
          <w:tcPr>
            <w:tcW w:type="dxa" w:w="40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Valeur nominale du compteur</w:t>
            </w:r>
          </w:p>
        </w:tc>
      </w:tr>
      <w:tr>
        <w:tc>
          <w:tcPr>
            <w:tcW w:type="dxa" w:w="15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Q4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de surcharge</w:t>
            </w:r>
          </w:p>
        </w:tc>
        <w:tc>
          <w:tcPr>
            <w:tcW w:type="dxa" w:w="40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1,25 × Q3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Conséquence directe.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Un compteur R160 de Q3 = 2 500 L/h a un Q1 de 15,6 L/h : en dessous, sa précision n'est plus garantie. Un compteur surdimensionné ou de faible rapport R ne « voit » pas les petits débits — une fuite peut rester sous son seuil de démarrage et n'être jamais comptée. Le dimensionnement se fait donc sur le débit réel attendu, non sur le diamètre de la canalisation.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2.2  Les interfaces de sortie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300"/>
        <w:gridCol w:w="4200"/>
        <w:gridCol w:w="3246"/>
      </w:tblGrid>
      <w:tr>
        <w:trPr>
          <w:tblHeader/>
        </w:trPr>
        <w:tc>
          <w:tcPr>
            <w:tcW w:type="dxa" w:w="23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Sortie</w:t>
            </w:r>
          </w:p>
        </w:tc>
        <w:tc>
          <w:tcPr>
            <w:tcW w:type="dxa" w:w="4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Principe</w:t>
            </w:r>
          </w:p>
        </w:tc>
        <w:tc>
          <w:tcPr>
            <w:tcW w:type="dxa" w:w="32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Ce qu'elle permet</w:t>
            </w:r>
          </w:p>
        </w:tc>
      </w:tr>
      <w:tr>
        <w:tc>
          <w:tcPr>
            <w:tcW w:type="dxa" w:w="2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Aucune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Lecture visuelle du cadran</w:t>
            </w:r>
          </w:p>
        </w:tc>
        <w:tc>
          <w:tcPr>
            <w:tcW w:type="dxa" w:w="32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Rien d'automatique</w:t>
            </w:r>
          </w:p>
        </w:tc>
      </w:tr>
      <w:tr>
        <w:tc>
          <w:tcPr>
            <w:tcW w:type="dxa" w:w="23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Impulsion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Un aimant ferme un contact sec tous les P litres</w:t>
            </w:r>
          </w:p>
        </w:tc>
        <w:tc>
          <w:tcPr>
            <w:tcW w:type="dxa" w:w="32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Comptage par un équipement externe</w:t>
            </w:r>
          </w:p>
        </w:tc>
      </w:tr>
      <w:tr>
        <w:tc>
          <w:tcPr>
            <w:tcW w:type="dxa" w:w="2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Encodeur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Transmission de l'index absolu sur bus</w:t>
            </w:r>
          </w:p>
        </w:tc>
        <w:tc>
          <w:tcPr>
            <w:tcW w:type="dxa" w:w="32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Pas de perte au redémarrage</w:t>
            </w:r>
          </w:p>
        </w:tc>
      </w:tr>
      <w:tr>
        <w:tc>
          <w:tcPr>
            <w:tcW w:type="dxa" w:w="23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Radio intégrée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Émetteur dans le compteur</w:t>
            </w:r>
          </w:p>
        </w:tc>
        <w:tc>
          <w:tcPr>
            <w:tcW w:type="dxa" w:w="32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Aucun câblage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sortie impulsion est le dénominateur commun de l'industrie : deux fils, aucune électronique, lisible par n'importe quel équipement. C'est une option de commande et non un équipement standard. Le poids d'impulsion va de 1 à 100 litres selon le calibre, et détermine la résolution de la mesure (§ 6.3). Limite à connaître : l'impulsion transmet un incrément, non un index absolu ; une coupure d'alimentation du compteur externe impose un recalage.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3.  Transmettre : panorama des technologies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100"/>
        <w:gridCol w:w="2000"/>
        <w:gridCol w:w="1900"/>
        <w:gridCol w:w="3746"/>
      </w:tblGrid>
      <w:tr>
        <w:trPr>
          <w:tblHeader/>
        </w:trPr>
        <w:tc>
          <w:tcPr>
            <w:tcW w:type="dxa" w:w="21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Famille</w:t>
            </w:r>
          </w:p>
        </w:tc>
        <w:tc>
          <w:tcPr>
            <w:tcW w:type="dxa" w:w="20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Portée</w:t>
            </w:r>
          </w:p>
        </w:tc>
        <w:tc>
          <w:tcPr>
            <w:tcW w:type="dxa" w:w="19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Alimentation</w:t>
            </w:r>
          </w:p>
        </w:tc>
        <w:tc>
          <w:tcPr>
            <w:tcW w:type="dxa" w:w="37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Infrastructure</w:t>
            </w:r>
          </w:p>
        </w:tc>
      </w:tr>
      <w:tr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Filaire (M-Bus, Modbus)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Longueur du câble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Bus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Câblage à tirer</w:t>
            </w:r>
          </w:p>
        </w:tc>
      </w:tr>
      <w:tr>
        <w:tc>
          <w:tcPr>
            <w:tcW w:type="dxa" w:w="21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Radio courte portée (Zigbee, WiFi)</w:t>
            </w:r>
          </w:p>
        </w:tc>
        <w:tc>
          <w:tcPr>
            <w:tcW w:type="dxa" w:w="20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Dizaines de mètres</w:t>
            </w:r>
          </w:p>
        </w:tc>
        <w:tc>
          <w:tcPr>
            <w:tcW w:type="dxa" w:w="19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 courte ou secteur</w:t>
            </w:r>
          </w:p>
        </w:tc>
        <w:tc>
          <w:tcPr>
            <w:tcW w:type="dxa" w:w="37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Répéteurs</w:t>
            </w:r>
          </w:p>
        </w:tc>
      </w:tr>
      <w:tr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wM-Bus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Centaines de mètres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Pile, années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Concentrateurs</w:t>
            </w:r>
          </w:p>
        </w:tc>
      </w:tr>
      <w:tr>
        <w:tc>
          <w:tcPr>
            <w:tcW w:type="dxa" w:w="2100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LoRaWAN privé</w:t>
            </w:r>
          </w:p>
        </w:tc>
        <w:tc>
          <w:tcPr>
            <w:tcW w:type="dxa" w:w="2000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Kilomètres</w:t>
            </w:r>
          </w:p>
        </w:tc>
        <w:tc>
          <w:tcPr>
            <w:tcW w:type="dxa" w:w="1900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Pile, années</w:t>
            </w:r>
          </w:p>
        </w:tc>
        <w:tc>
          <w:tcPr>
            <w:tcW w:type="dxa" w:w="3746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Passerelles à installer</w:t>
            </w:r>
          </w:p>
        </w:tc>
      </w:tr>
      <w:tr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LPWAN opéré (NB-IoT, LTE-M)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Couverture opérateur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Pile, années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Abonnement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 filaire est irréprochable mais impose un génie civil supérieur au coût de la mesure. La radio courte portée n'atteint pas des compteurs répartis en sous-sol. Le LPWAN opéré supprime l'infrastructure mais introduit un abonnement par appareil et une dépendance à une couverture que l'on ne peut pas améliorer soi-même — précisément là où elle est la plus incertaine.</w:t>
      </w:r>
    </w:p>
    <w:p>
      <w:pPr>
        <w:spacing w:after="90" w:line="25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Le piège wM-Bus.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Normalisé par EN 13757-4 [3], c'est le standard européen de la télérelève de fluides, et il émet dans la même bande 868 MHz que LoRaWAN. Un compteur annoncé « communicant, 868 MHz » est très souvent un compteur wM-Bus — non interopérable avec une passerelle LoRaWAN. Point de vigilance à l'achat.</w:t>
      </w:r>
    </w:p>
    <w:p>
      <w:pPr>
        <w:spacing w:after="90" w:line="25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Pourquoi LoRaWAN ici.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L'ECAM dispose déjà de trois passerelles, ce qui réduit le coût marginal d'un point de mesure à celui du nœud. Le réseau est privé : aucun abonnement, couverture améliorable en ajoutant une passerelle, et les données restent dans l'établissement. Le prix à payer est un débit très faible et un temps d'antenne réglementé.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4.  LoRaWAN : ce qui contraint le dimensionnement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Les passerelles ne sont pas adressées : un nœud émet, toutes celles à portée reçoivent, le serveur de réseau déduplique — d'où une redondance gratuite dès qu'un point est couvert par deux passerelles. Les compteurs sur pile relèvent de la Classe A, qui n'écoute qu'après avoir émis : un ordre de configuration n'est donc reçu qu'au cycle suivant.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4.1  Temps d'antenne et réglementation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bande est régie par ETSI EN 300 220 [4], qui impose un rapport cyclique par sous-bande et plafonne la puissance à 25 mW ERP, soit environ +16 dBm EIRP.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3000"/>
        <w:gridCol w:w="2200"/>
        <w:gridCol w:w="4546"/>
      </w:tblGrid>
      <w:tr>
        <w:trPr>
          <w:tblHeader/>
        </w:trPr>
        <w:tc>
          <w:tcPr>
            <w:tcW w:type="dxa" w:w="30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Sous-bande</w:t>
            </w:r>
          </w:p>
        </w:tc>
        <w:tc>
          <w:tcPr>
            <w:tcW w:type="dxa" w:w="2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Rapport cyclique</w:t>
            </w:r>
          </w:p>
        </w:tc>
        <w:tc>
          <w:tcPr>
            <w:tcW w:type="dxa" w:w="45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863 – 865 MHz</w:t>
            </w:r>
          </w:p>
        </w:tc>
        <w:tc>
          <w:tcPr>
            <w:tcW w:type="dxa" w:w="2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0,1 %</w:t>
            </w:r>
          </w:p>
        </w:tc>
        <w:tc>
          <w:tcPr>
            <w:tcW w:type="dxa" w:w="45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La plus contrainte</w:t>
            </w:r>
          </w:p>
        </w:tc>
      </w:tr>
      <w:tr>
        <w:tc>
          <w:tcPr>
            <w:tcW w:type="dxa" w:w="30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868,0 – 868,6 MHz</w:t>
            </w:r>
          </w:p>
        </w:tc>
        <w:tc>
          <w:tcPr>
            <w:tcW w:type="dxa" w:w="2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1 %</w:t>
            </w:r>
          </w:p>
        </w:tc>
        <w:tc>
          <w:tcPr>
            <w:tcW w:type="dxa" w:w="45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Canaux LoRaWAN obligatoires : 868,1 / 868,3 / 868,5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867,1 – 867,9 MHz</w:t>
            </w:r>
          </w:p>
        </w:tc>
        <w:tc>
          <w:tcPr>
            <w:tcW w:type="dxa" w:w="2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1 %</w:t>
            </w:r>
          </w:p>
        </w:tc>
        <w:tc>
          <w:tcPr>
            <w:tcW w:type="dxa" w:w="45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Cinq canaux additionnels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charge utile applicative dépend du facteur d'étalement [5] : 51 octets de DR0 à DR2 (SF12 à SF10), 115 à DR3, 222 au-delà. Chaque incrément de SF double approximativement le temps d'antenne et améliore le bilan de liaison d'environ 3 dB. Un relevé horaire de quelques octets tient confortablement dans ces limites, y compris au pire cas SF12.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4.2  Bilan de liaison et propagation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LoRa démodule sous le niveau de bruit, ce qu'aucune modulation classique ne permet : à SF12, la sensibilité atteint environ −137 dBm pour un SNR de −20 dB, contre −123 dBm et −7,5 dB à SF7 [6]. En limite de portée, c'est le SNR, plus que le RSSI, qui conditionne la réception.</w:t>
      </w:r>
    </w:p>
    <w:tbl>
      <w:tblPr>
        <w:tblW w:type="dxa" w:w="9746"/>
        <w:tblBorders>
          <w:top w:val="none"/>
          <w:left w:val="single" w:color="0B5563" w:sz="18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EDF2F4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Le point dur du projet. 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Le relevé a corrigé une hypothèse de départ : les compteurs de l'ECAM sont en sous-plafond et non en local enterré, situation nettement plus favorable. Le facteur dominant n'est donc pas le béton mais l'ossature métallique du faux plafond. L'ordre de grandeur reste éclairant : une campagne publiée rapporte environ 10 dB par plancher vers les étages, mais environ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55 dB pour atteindre un sous-sol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[7] — un facteur cinq, qui montre qu'un bilan de liaison ne se transpose pas d'un emplacement à un autre et que la mesure sur site reste indispensable.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/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Les modèles de propagation intérieure — ITU-R P.1238 [8], et les modèles multi-murs de type COST 231 qui ajoutent au modèle en espace libre une perte par paroi traversée — permettent d'estimer ces pertes, avec une incertitude importante en sous-sol. La valeur du livrable T3 réside dans l'écart mesuré entre prédiction et terrain.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5.  Serveur de réseau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 serveur de réseau gère les adhésions, déduplique les messages, pilote l'adaptation de débit et expose les données à l'application.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600"/>
        <w:gridCol w:w="3400"/>
        <w:gridCol w:w="3746"/>
      </w:tblGrid>
      <w:tr>
        <w:trPr>
          <w:tblHeader/>
        </w:trPr>
        <w:tc>
          <w:tcPr>
            <w:tcW w:type="dxa" w:w="26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Solution</w:t>
            </w:r>
          </w:p>
        </w:tc>
        <w:tc>
          <w:tcPr>
            <w:tcW w:type="dxa" w:w="34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Points forts</w:t>
            </w:r>
          </w:p>
        </w:tc>
        <w:tc>
          <w:tcPr>
            <w:tcW w:type="dxa" w:w="37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Limites</w:t>
            </w:r>
          </w:p>
        </w:tc>
      </w:tr>
      <w:tr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ChirpStack</w:t>
            </w:r>
          </w:p>
        </w:tc>
        <w:tc>
          <w:tcPr>
            <w:tcW w:type="dxa" w:w="3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Libre, auto-hébergé, intégration MQTT native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Infrastructure à maintenir</w:t>
            </w:r>
          </w:p>
        </w:tc>
      </w:tr>
      <w:tr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The Things Stack</w:t>
            </w:r>
          </w:p>
        </w:tc>
        <w:tc>
          <w:tcPr>
            <w:tcW w:type="dxa" w:w="34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Mise en œuvre immédiate</w:t>
            </w:r>
          </w:p>
        </w:tc>
        <w:tc>
          <w:tcPr>
            <w:tcW w:type="dxa" w:w="37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Dépendance externe ; usage équitable sur l'offre publique</w:t>
            </w:r>
          </w:p>
        </w:tc>
      </w:tr>
      <w:tr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Offres opérées</w:t>
            </w:r>
          </w:p>
        </w:tc>
        <w:tc>
          <w:tcPr>
            <w:tcW w:type="dxa" w:w="3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Exploitation déléguée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Coût récurrent, données hors établissement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ChirpStack [9] est retenu : les données restent dans l'établissement, aucune contrainte d'usage équitable ne s'applique sur un réseau privé, et l'interface sert à la fois la visualisation et le paramétrage à distance des nœuds — ce qui évite de développer un outil d'administration.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6.  Détecter les fuites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6.1  Le bilan hydraulique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 principe est comptable : ce qui entre doit se retrouver en sortie.</w:t>
      </w:r>
    </w:p>
    <w:tbl>
      <w:tblPr>
        <w:tblW w:type="dxa" w:w="9746"/>
        <w:tblBorders>
          <w:top w:val="none"/>
          <w:left w:val="single" w:color="0B5563" w:sz="18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EDF2F4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B5563"/>
                <w:sz w:val="19"/>
                <w:szCs w:val="19"/>
              </w:rPr>
              <w:t xml:space="preserve">Résidu  =  Index général  −  Σ (sous-compteurs)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/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C'est la transposition à l'échelle d'un bâtiment de la méthodologie de bilan hydrique de l'IWA [10], dont le vocabulaire s'applique directement : chaque zone sous-comptée constitue une DMA (District Metered Area). Trois propriétés du résidu : il agrège toutes les zones non comptées, il cumule les erreurs de tous les compteurs du bilan, et il contient les fuites puisqu'une fuite n'est comptée nulle part ailleurs.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6.2  Le débit minimum nocturne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Pendant les heures creuses, la consommation légitime d'une zone inoccupée tend vers zéro : ce qui subsiste est du débit non légitime. Le débit nocturne net — minimum nocturne moins consommation nocturne légitime — est l'estimateur de fuite, et une alarme se déclenche au franchissement d'un seuil calibré sur l'historique [10][11].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L'intérêt décisif est que cet indicateur reste sensible quel que soit le nombre de zones agrégées, puisque toutes contribuent zéro la nuit. Sa limite est symétrique : il indique qu'une fuite existe, non où elle se trouve. La localisation reste une inspection humaine.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6.3  Ce que la chaîne de mesure impose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plus petite fuite décelable est bornée par la résolution de la mesure. Avec un poids d'impulsion de P litres et un relevé horaire :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3200"/>
        <w:gridCol w:w="3200"/>
        <w:gridCol w:w="3346"/>
      </w:tblGrid>
      <w:tr>
        <w:trPr>
          <w:tblHeader/>
        </w:trPr>
        <w:tc>
          <w:tcPr>
            <w:tcW w:type="dxa" w:w="3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Poids d'impulsion</w:t>
            </w:r>
          </w:p>
        </w:tc>
        <w:tc>
          <w:tcPr>
            <w:tcW w:type="dxa" w:w="3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Résolution horaire</w:t>
            </w:r>
          </w:p>
        </w:tc>
        <w:tc>
          <w:tcPr>
            <w:tcW w:type="dxa" w:w="33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Moyennée sur 8 h de nuit</w:t>
            </w:r>
          </w:p>
        </w:tc>
      </w:tr>
      <w:tr>
        <w:tc>
          <w:tcPr>
            <w:tcW w:type="dxa" w:w="3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10 L</w:t>
            </w:r>
          </w:p>
        </w:tc>
        <w:tc>
          <w:tcPr>
            <w:tcW w:type="dxa" w:w="3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10 L/h</w:t>
            </w:r>
          </w:p>
        </w:tc>
        <w:tc>
          <w:tcPr>
            <w:tcW w:type="dxa" w:w="33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≈ 1,3 L/h</w:t>
            </w:r>
          </w:p>
        </w:tc>
      </w:tr>
      <w:tr>
        <w:tc>
          <w:tcPr>
            <w:tcW w:type="dxa" w:w="3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100 L</w:t>
            </w:r>
          </w:p>
        </w:tc>
        <w:tc>
          <w:tcPr>
            <w:tcW w:type="dxa" w:w="3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100 L/h</w:t>
            </w:r>
          </w:p>
        </w:tc>
        <w:tc>
          <w:tcPr>
            <w:tcW w:type="dxa" w:w="33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≈ 12,5 L/h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Deux enseignements : le poids d'impulsion se choisit, il ne se subit pas — c'est un paramètre de commande, généralement sans surcoût ; et le moyennage nocturne récupère un ordre de grandeur de sensibilité, ce qui rend exploitable un poids grossier sur une arrivée générale de gros diamètre.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7.  Synthèse : ce que l'état de l'art fonde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700"/>
        <w:gridCol w:w="2600"/>
        <w:gridCol w:w="4446"/>
      </w:tblGrid>
      <w:tr>
        <w:trPr>
          <w:tblHeader/>
        </w:trPr>
        <w:tc>
          <w:tcPr>
            <w:tcW w:type="dxa" w:w="27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26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Choix</w:t>
            </w:r>
          </w:p>
        </w:tc>
        <w:tc>
          <w:tcPr>
            <w:tcW w:type="dxa" w:w="44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Justification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LoRaWAN privé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Passerelles déjà présentes, pas d'abonnement, couverture améliorable, données internes (§ 3)</w:t>
            </w:r>
          </w:p>
        </w:tc>
      </w:tr>
      <w:tr>
        <w:tc>
          <w:tcPr>
            <w:tcW w:type="dxa" w:w="27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Point de mesure</w:t>
            </w:r>
          </w:p>
        </w:tc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Compteur à impulsions + nœud séparé</w:t>
            </w:r>
          </w:p>
        </w:tc>
        <w:tc>
          <w:tcPr>
            <w:tcW w:type="dxa" w:w="44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L'électronique reste hors de la tuyauterie : remplaçable sans vidange du réseau (§ 2.2)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Serveur de réseau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ChirpStack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Données internes, paramétrage inclus (§ 5)</w:t>
            </w:r>
          </w:p>
        </w:tc>
      </w:tr>
      <w:tr>
        <w:tc>
          <w:tcPr>
            <w:tcW w:type="dxa" w:w="27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Périodicité</w:t>
            </w:r>
          </w:p>
        </w:tc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Horaire</w:t>
            </w:r>
          </w:p>
        </w:tc>
        <w:tc>
          <w:tcPr>
            <w:tcW w:type="dxa" w:w="44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Compatible du temps d'antenne, et nécessaire au minimum nocturne (§ 4.1, § 6.2)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Format de trame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Binaire, index cumulatif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Temps d'antenne limité ; l'index absolu rend la perte d'un message sans conséquence (§ 4.1)</w:t>
            </w:r>
          </w:p>
        </w:tc>
      </w:tr>
      <w:tr>
        <w:tc>
          <w:tcPr>
            <w:tcW w:type="dxa" w:w="27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Détection</w:t>
            </w:r>
          </w:p>
        </w:tc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Minimum nocturne sur le résidu</w:t>
            </w:r>
          </w:p>
        </w:tc>
        <w:tc>
          <w:tcPr>
            <w:tcW w:type="dxa" w:w="44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Seule méthode restant sensible malgré l'agrégation des zones (§ 6.2)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Choix des compteurs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Sortie impulsion, R élevé, poids d'impulsion fin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Un compteur surdimensionné ne voit pas les fuites (§ 2.1, § 6.3)</w:t>
            </w:r>
          </w:p>
        </w:tc>
      </w:tr>
    </w:tbl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8.  Références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Références recherchées et corroborées lors de la rédaction. Les documents normatifs payants n'ont pas été ouverts : vérifier la version en vigueur avant citation au rapport final.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[1]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OIML R 49-1,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Compteurs d'eau destinés au mesurage de l'eau potable froide et de l'eau chaude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tbj2dzjvorgqem2wi0pry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édition 2024 (EN)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 · </w:t>
      </w:r>
      <w:hyperlink w:history="1" r:id="rIdkhbntveblnmbsk8nnrwrc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édition 2013 (FR)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. À recouper avec EN ISO 4064.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[2]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Directive 2014/32/UE (MID), instruments de mesure, annexe MI-001 — </w:t>
      </w:r>
      <w:hyperlink w:history="1" r:id="rIdvr9ndcmmppuumevnp-1va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EUR-Lex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[3]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EN 13757-4,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communication radio pour compteurs (wireless M-Bus)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fiyrtikc0kugmjzop9lu3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édition 2025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[4]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ETSI EN 300 220, dispositifs à courte portée sous 1 GHz. Application pratique : </w:t>
      </w:r>
      <w:hyperlink w:history="1" r:id="rIde698b29q2bpai3nuvk3ap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The Things Network — Duty Cycle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[5]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LoRa Alliance,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LoRaWAN Regional Parameters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(EU863-870) — </w:t>
      </w:r>
      <w:hyperlink w:history="1" r:id="rId-awgjurow9llzujb4kziz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RP002-1.0.3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[6]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Semtech, </w:t>
      </w:r>
      <w:hyperlink w:history="1" r:id="rIdpxgm_wpznjfmyc_x4rlt4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FAQ LoRa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 — sensibilité et SNR de démodulation par facteur d'étalement.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[7] 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LPWAN based IoT Architecture for Distributed Energy Monitoring in Deep Indoor Environments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cfchkt0zkh-xruzy2untq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arXiv 2512.00998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. Atténuation ≈ 10 dB par plancher, ≈ 55 dB vers le sous-sol. </w:t>
      </w: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La référence la plus directement utilisable pour le livrable T3.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[8]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Recommandation ITU-R P.1238-9 (06/2017),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propagation pour la planification des systèmes radio en intérieur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yrrdwirme-j8gtss12nl_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PDF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[9]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ChirpStack — </w:t>
      </w:r>
      <w:hyperlink w:history="1" r:id="rIdvvyllofhyauzhqlk6ps8z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documentation officielle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 : architecture, intégration MQTT, codecs de payload.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[10]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IWA Publishing, </w:t>
      </w:r>
      <w:hyperlink w:history="1" r:id="rIdntp1jjzvzv9km6vr6atyq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Leakage estimation based on water balance, minimum night flow and component analysis methods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Water Practice &amp; Technology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[11]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IWA Publishing, </w:t>
      </w:r>
      <w:hyperlink w:history="1" r:id="rIdouwmq9fmm0hmbjsllaqg-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Leakage assessment of water supply networks in a university based on WB-Easy Calc and night minimum flow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Water Supply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. </w:t>
      </w: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Étude de cas sur un campus universitaire — le retour d'expérience le plus proche du projet.</w:t>
      </w:r>
    </w:p>
    <w:sectPr>
      <w:pgSz w:w="11906" w:h="16838" w:orient="portrait"/>
      <w:pgMar w:top="1008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bj2dzjvorgqem2wi0pry" Type="http://schemas.openxmlformats.org/officeDocument/2006/relationships/hyperlink" Target="https://www.oiml.org/en/files/pdf_r/r049-1-e24.pdf" TargetMode="External"/><Relationship Id="rIdkhbntveblnmbsk8nnrwrc" Type="http://schemas.openxmlformats.org/officeDocument/2006/relationships/hyperlink" Target="https://www.oiml.org/fr/files/pdf_r/r049-1-f13.pdf" TargetMode="External"/><Relationship Id="rIdvr9ndcmmppuumevnp-1va" Type="http://schemas.openxmlformats.org/officeDocument/2006/relationships/hyperlink" Target="https://eur-lex.europa.eu/eli/dir/2014/32/oj" TargetMode="External"/><Relationship Id="rIdfiyrtikc0kugmjzop9lu3" Type="http://schemas.openxmlformats.org/officeDocument/2006/relationships/hyperlink" Target="https://standards.iteh.ai/catalog/standards/cen/b0f5d14e-42a8-4a53-945a-06fc2a3dd0f8/en-13757-4-2025" TargetMode="External"/><Relationship Id="rIde698b29q2bpai3nuvk3ap" Type="http://schemas.openxmlformats.org/officeDocument/2006/relationships/hyperlink" Target="https://www.thethingsnetwork.org/docs/lorawan/duty-cycle/" TargetMode="External"/><Relationship Id="rId-awgjurow9llzujb4kziz" Type="http://schemas.openxmlformats.org/officeDocument/2006/relationships/hyperlink" Target="https://lora-alliance.org/wp-content/uploads/2021/05/RP002-1.0.3-FINAL-1.pdf" TargetMode="External"/><Relationship Id="rIdpxgm_wpznjfmyc_x4rlt4" Type="http://schemas.openxmlformats.org/officeDocument/2006/relationships/hyperlink" Target="https://www.semtech.com/design-support/faq/faq-lora" TargetMode="External"/><Relationship Id="rIdcfchkt0zkh-xruzy2untq" Type="http://schemas.openxmlformats.org/officeDocument/2006/relationships/hyperlink" Target="https://arxiv.org/pdf/2512.00998" TargetMode="External"/><Relationship Id="rIdyrrdwirme-j8gtss12nl_" Type="http://schemas.openxmlformats.org/officeDocument/2006/relationships/hyperlink" Target="https://www.itu.int/dms_pubrec/itu-r/rec/p/R-REC-P.1238-9-201706-I!!PDF-E.pdf" TargetMode="External"/><Relationship Id="rIdvvyllofhyauzhqlk6ps8z" Type="http://schemas.openxmlformats.org/officeDocument/2006/relationships/hyperlink" Target="https://www.chirpstack.io/" TargetMode="External"/><Relationship Id="rIdntp1jjzvzv9km6vr6atyq" Type="http://schemas.openxmlformats.org/officeDocument/2006/relationships/hyperlink" Target="https://iwaponline.com/wpt/article/13/1/96/38686/Leakage-estimation-in-developing-country-water" TargetMode="External"/><Relationship Id="rIdouwmq9fmm0hmbjsllaqg-" Type="http://schemas.openxmlformats.org/officeDocument/2006/relationships/hyperlink" Target="https://iwaponline.com/ws/article/24/8/2781/103525/Leakage-assessment-of-water-supply-networks-in-a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2026-09-18T08:19:06.578Z</dcterms:created>
  <dcterms:modified xsi:type="dcterms:W3CDTF">2026-09-18T08:19:06.587Z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