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5563"/>
          <w:sz w:val="32"/>
          <w:szCs w:val="32"/>
        </w:rPr>
        <w:t xml:space="preserve">État de l'art — sommaire général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2"/>
          <w:szCs w:val="22"/>
        </w:rPr>
        <w:t xml:space="preserve">Suivi de la consommation d'eau à l'ECAM par réseau LoRaWAN</w:t>
      </w:r>
    </w:p>
    <w:p>
      <w:pPr>
        <w:pBdr>
          <w:bottom w:val="single" w:color="0B5563" w:sz="12" w:space="6"/>
        </w:pBdr>
        <w:spacing w:after="170"/>
      </w:pPr>
      <w:r>
        <w:rPr>
          <w:rFonts w:ascii="Calibri" w:cs="Calibri" w:eastAsia="Calibri" w:hAnsi="Calibri"/>
          <w:color w:val="5B6770"/>
          <w:sz w:val="15"/>
          <w:szCs w:val="15"/>
        </w:rPr>
        <w:t xml:space="preserve">PRI 2026-2027  ·  Projet collaboratif DAISI  ·  Livrable T1  ·  Soumis à validation  ·  Paul Thiboult et Lilian Grot</w:t>
      </w:r>
    </w:p>
    <w:tbl>
      <w:tblPr>
        <w:tblW w:type="dxa" w:w="9746"/>
        <w:tblBorders>
          <w:top w:val="none"/>
          <w:left w:val="single" w:color="0B5563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DF2F4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Objet de ce document. 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Les encadrants ont demandé de commencer par le sommaire général pour validation. Celui-ci propose une structure et indique, sous chaque section, les sources qui l'alimentent — afin que la validation porte sur du substantiel et non sur une table des matières vide. La rédaction complète sera engagée après validation.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/>
      </w:r>
    </w:p>
    <w:p>
      <w:pPr>
        <w:pBdr>
          <w:bottom w:val="single" w:color="C3CED4" w:sz="6" w:space="2"/>
        </w:pBdr>
        <w:spacing w:after="100" w:before="25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Ce que demandent les encadrants, et où c'est traité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6000"/>
        <w:gridCol w:w="3746"/>
      </w:tblGrid>
      <w:tr>
        <w:trPr>
          <w:tblHeader/>
        </w:trPr>
        <w:tc>
          <w:tcPr>
            <w:tcW w:type="dxa" w:w="60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Demande formulée en réunion</w:t>
            </w:r>
          </w:p>
        </w:tc>
        <w:tc>
          <w:tcPr>
            <w:tcW w:type="dxa" w:w="37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</w:tr>
      <w:tr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Quelles sont les autres pratiques, comparaison de ce qui est déjà utilisé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§ 2</w:t>
            </w:r>
          </w:p>
        </w:tc>
      </w:tr>
      <w:tr>
        <w:tc>
          <w:tcPr>
            <w:tcW w:type="dxa" w:w="60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CAS D'USAGES</w:t>
            </w:r>
          </w:p>
        </w:tc>
        <w:tc>
          <w:tcPr>
            <w:tcW w:type="dxa" w:w="37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§ 2, la plus développée</w:t>
            </w:r>
          </w:p>
        </w:tc>
      </w:tr>
      <w:tr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Partie compteur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§ 3</w:t>
            </w:r>
          </w:p>
        </w:tc>
      </w:tr>
      <w:tr>
        <w:tc>
          <w:tcPr>
            <w:tcW w:type="dxa" w:w="60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Partie technologie</w:t>
            </w:r>
          </w:p>
        </w:tc>
        <w:tc>
          <w:tcPr>
            <w:tcW w:type="dxa" w:w="37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§ 4</w:t>
            </w:r>
          </w:p>
        </w:tc>
      </w:tr>
      <w:tr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Théorie de propagation</w:t>
            </w:r>
          </w:p>
        </w:tc>
        <w:tc>
          <w:tcPr>
            <w:tcW w:type="dxa" w:w="37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§ 5</w:t>
            </w:r>
          </w:p>
        </w:tc>
      </w:tr>
      <w:tr>
        <w:tc>
          <w:tcPr>
            <w:tcW w:type="dxa" w:w="60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Comment les données sont écrites, problèmes de distance, faire un standard</w:t>
            </w:r>
          </w:p>
        </w:tc>
        <w:tc>
          <w:tcPr>
            <w:tcW w:type="dxa" w:w="37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§ 6</w:t>
            </w:r>
          </w:p>
        </w:tc>
      </w:tr>
      <w:tr>
        <w:tc>
          <w:tcPr>
            <w:tcW w:type="dxa" w:w="6000"/>
            <w:shd w:fill="FDF3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Rapports d'études de sociétés ayant suivi leur consommation d'eau</w:t>
            </w:r>
          </w:p>
        </w:tc>
        <w:tc>
          <w:tcPr>
            <w:tcW w:type="dxa" w:w="3746"/>
            <w:shd w:fill="FDF3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§ 2.4 — lacune signalée</w:t>
            </w:r>
          </w:p>
        </w:tc>
      </w:tr>
    </w:tbl>
    <w:p>
      <w:pPr>
        <w:pBdr>
          <w:bottom w:val="single" w:color="C3CED4" w:sz="6" w:space="2"/>
        </w:pBdr>
        <w:spacing w:after="100" w:before="25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Sommaire proposé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1.  Contexte et besoin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1.1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L'eau en France : ressource, prix, tension sur la disponibilité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1.2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Le sous-comptage en bâtiment tertiaire : pourquoi un seul compteur ne suffit pas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1.3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Le coût d'une fuite non détectée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1.4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Objectifs assignés à un système de suivi</w:t>
      </w:r>
    </w:p>
    <w:p>
      <w:pPr>
        <w:pBdr>
          <w:left w:val="single" w:color="C3CED4" w:sz="10" w:space="10"/>
        </w:pBdr>
        <w:spacing w:after="110" w:before="60" w:line="235"/>
        <w:ind w:left="360"/>
      </w:pPr>
      <w:r>
        <w:rPr>
          <w:rFonts w:ascii="Calibri" w:cs="Calibri" w:eastAsia="Calibri" w:hAnsi="Calibri"/>
          <w:color w:val="5B6770"/>
          <w:sz w:val="16"/>
          <w:szCs w:val="16"/>
        </w:rPr>
        <w:t xml:space="preserve">Sources : SDES,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L'eau en France, Bilan environnemental 2024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 ·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Le prix de l'eau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, document de travail 2025 · OCDE,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Cost recovery for water services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 · Kairos Water, qui chiffre à 14 milliards de dollars par an le coût des dégâts des eaux pour les assureurs et propriétaires américains, et note que les fuites passent inaperçues pendant des jours ou des semaines.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2.  Cas d'usage : ce qui se fait déjà</w:t>
      </w:r>
    </w:p>
    <w:p>
      <w:pPr>
        <w:spacing w:after="7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Section volontairement la plus développée, conformément à la demande.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2.1 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À l'échelle d'un bâtiment — le cas le plus proche de l'ECAM</w:t>
      </w:r>
    </w:p>
    <w:p>
      <w:pPr>
        <w:pBdr>
          <w:left w:val="single" w:color="C3CED4" w:sz="10" w:space="10"/>
        </w:pBdr>
        <w:spacing w:after="110" w:before="60" w:line="235"/>
        <w:ind w:left="360"/>
      </w:pPr>
      <w:r>
        <w:rPr>
          <w:rFonts w:ascii="Calibri" w:cs="Calibri" w:eastAsia="Calibri" w:hAnsi="Calibri"/>
          <w:color w:val="5B6770"/>
          <w:sz w:val="16"/>
          <w:szCs w:val="16"/>
        </w:rPr>
        <w:t xml:space="preserve">Kairos Water « Moses » : bâtiments commerciaux nord-américains, compteur à vanne de coupure automatique. Argument directement transposable — un seul réseau LoRaWAN sert plusieurs applications, on l'installe une fois puis on ajoute des usages, ce qui est exactement la situation de l'ECAM. Enthutech : infrastructure commerciale près de l'aéroport de Bangalore. Constat partagé : le marché résidentiel est mûr, le tertiaire beaucoup moins.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2.2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À l'échelle d'une collectivité</w:t>
      </w:r>
    </w:p>
    <w:p>
      <w:pPr>
        <w:pBdr>
          <w:left w:val="single" w:color="C3CED4" w:sz="10" w:space="10"/>
        </w:pBdr>
        <w:spacing w:after="110" w:before="60" w:line="235"/>
        <w:ind w:left="360"/>
      </w:pPr>
      <w:r>
        <w:rPr>
          <w:rFonts w:ascii="Calibri" w:cs="Calibri" w:eastAsia="Calibri" w:hAnsi="Calibri"/>
          <w:color w:val="5B6770"/>
          <w:sz w:val="16"/>
          <w:szCs w:val="16"/>
        </w:rPr>
        <w:t xml:space="preserve">Rennes Métropole, réseau Ecodata : 72 antennes et 5 000 capteurs aujourd'hui, 57 000 visés d'ici 2035, une trentaine de cas d'usage dont la détection de fuites dans les bâtiments publics. Saint-Sulpice-la-Forêt, Saint-Grégoire, Betton : déploiements Sensing Vision et Kerlink. SPL Eau du Bassin Rennais : quantification des bénéfices environnementaux de la télégestion, 2024.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2.3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À l'échelle d'un réseau de distribution</w:t>
      </w:r>
    </w:p>
    <w:p>
      <w:pPr>
        <w:pBdr>
          <w:left w:val="single" w:color="C3CED4" w:sz="10" w:space="10"/>
        </w:pBdr>
        <w:spacing w:after="110" w:before="60" w:line="235"/>
        <w:ind w:left="360"/>
      </w:pPr>
      <w:r>
        <w:rPr>
          <w:rFonts w:ascii="Calibri" w:cs="Calibri" w:eastAsia="Calibri" w:hAnsi="Calibri"/>
          <w:color w:val="5B6770"/>
          <w:sz w:val="16"/>
          <w:szCs w:val="16"/>
        </w:rPr>
        <w:t xml:space="preserve">Yorkshire Water, 2024 : 1,3 million de compteurs LoRaWAN, plus de 1 000 fuites côté client détectées dès le début du déploiement, 1,22 mégalitre économisé par jour en phase initiale, autonomie de pile annoncée jusqu'à 15 ans. Húsafell, Islande : 233 logements, compteurs ultrasoniques Axioma, une seule passerelle, consommation réduite d'au moins 30 % en un an. Palerme, Panama, Cellnex et Global Omnium en Espagne.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2.4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Retours d'expérience industriels</w:t>
      </w:r>
    </w:p>
    <w:tbl>
      <w:tblPr>
        <w:tblW w:type="dxa" w:w="9746"/>
        <w:tblBorders>
          <w:top w:val="none"/>
          <w:left w:val="single" w:color="C4772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DF3E7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Lacune assumée. 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Les encadrants ont suggéré de rechercher des rapports d'entreprises ayant mis en place un suivi de consommation d'eau, en citant L'Usine Nouvelle. Le corpus fourni n'en contient aucun : les cas disponibles relèvent de la collectivité, du réseau de distribution ou du bâtiment commercial. Cette recherche reste à mener et constitue le principal manque du sommaire.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/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2.5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Synthèse : ce qui est transposable à l'ECAM, et ce qui ne l'est pas</w:t>
      </w:r>
    </w:p>
    <w:p>
      <w:pPr>
        <w:pBdr>
          <w:left w:val="single" w:color="C3CED4" w:sz="10" w:space="10"/>
        </w:pBdr>
        <w:spacing w:after="110" w:before="60" w:line="235"/>
        <w:ind w:left="360"/>
      </w:pPr>
      <w:r>
        <w:rPr>
          <w:rFonts w:ascii="Calibri" w:cs="Calibri" w:eastAsia="Calibri" w:hAnsi="Calibri"/>
          <w:color w:val="5B6770"/>
          <w:sz w:val="16"/>
          <w:szCs w:val="16"/>
        </w:rPr>
        <w:t xml:space="preserve">Les ordres de grandeur d'économie proviennent de contextes où la consommation n'était pas comptée du tout ; l'effet de la seule mise sous comptage y est considérable et ne se transpose pas mécaniquement. Le sous-comptage de bâtiment tertiaire reste peu documenté, ce qui constitue précisément l'apport du projet.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3.  Partie compteur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3.1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Principes de mesure : volumétrique, à vitesse, statique (ultrasonique)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3.2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Cadre métrologique : directive MID, OIML R49, EN ISO 4064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3.3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Le rapport R et les débits Q1 à Q4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3.4 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Ce que la métrologie impose à la détection de fuite : pourquoi un compteur surdimensionné ne voit pas les petits débits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3.5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Interfaces de sortie : impulsion, encodeur, radio intégrée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3.6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Comparaison des architectures de point de mesure et critères d'arbitrage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4.  Partie technologie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4.1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Panorama : filaire, radio courte portée, wM-Bus, LPWAN privé, LPWAN opéré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4.2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Comparaison multicritère : portée, autonomie, infrastructure, coût, propriété des données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4.3 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Le piège wM-Bus / LoRaWAN : même bande 868 MHz, protocoles incompatibles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4.4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Pourquoi les exploitants de réseaux retiennent LoRaWAN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4.5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Serveurs de réseau : ChirpStack, The Things Stack, offres opérées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4.6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Passage à l'échelle et traitement en périphérie</w:t>
      </w:r>
    </w:p>
    <w:p>
      <w:pPr>
        <w:pBdr>
          <w:left w:val="single" w:color="C3CED4" w:sz="10" w:space="10"/>
        </w:pBdr>
        <w:spacing w:after="110" w:before="60" w:line="235"/>
        <w:ind w:left="360"/>
      </w:pPr>
      <w:r>
        <w:rPr>
          <w:rFonts w:ascii="Calibri" w:cs="Calibri" w:eastAsia="Calibri" w:hAnsi="Calibri"/>
          <w:color w:val="5B6770"/>
          <w:sz w:val="16"/>
          <w:szCs w:val="16"/>
        </w:rPr>
        <w:t xml:space="preserve">Sources : Pagano et al.,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A survey on massive IoT for water distribution systems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, Ad Hoc Networks 2025 — revue systématique de 255 études, identifiant l'interopérabilité, le passage à l'échelle, l'efficacité énergétique, la couverture et la fiabilité comme verrous principaux · LoRa Alliance,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Why utilities are choosing smart LoRaWAN connectivity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 · Netmore,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Smart metering with LoRaWAN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 · MDPI Sensors 2018,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A survey of LoRaWAN for IoT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5.  Théorie de la propagation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5.1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La modulation LoRa : facteur d'étalement, gain de traitement, démodulation sous le niveau de bruit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5.2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Sensibilité et rapport signal sur bruit par facteur d'étalement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5.3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Le bilan de liaison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5.4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Contraintes réglementaires : ETSI EN 300 220, sous-bandes, rapport cyclique, puissance rayonnée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5.5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Modèles de propagation en intérieur : ITU-R P.1238, modèles multi-murs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5.6 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Résultats expérimentaux et atténuation par type d'emplacement : étage, sous-sol, sous-plafond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5.7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Méthode de mesure sur site et confrontation à la prédiction</w:t>
      </w:r>
    </w:p>
    <w:p>
      <w:pPr>
        <w:pBdr>
          <w:left w:val="single" w:color="C3CED4" w:sz="10" w:space="10"/>
        </w:pBdr>
        <w:spacing w:after="110" w:before="60" w:line="235"/>
        <w:ind w:left="360"/>
      </w:pPr>
      <w:r>
        <w:rPr>
          <w:rFonts w:ascii="Calibri" w:cs="Calibri" w:eastAsia="Calibri" w:hAnsi="Calibri"/>
          <w:color w:val="5B6770"/>
          <w:sz w:val="16"/>
          <w:szCs w:val="16"/>
        </w:rPr>
        <w:t xml:space="preserve">Source : Fernández Hernández et al., </w:t>
      </w:r>
      <w:r>
        <w:rPr>
          <w:rFonts w:ascii="Calibri" w:cs="Calibri" w:eastAsia="Calibri" w:hAnsi="Calibri"/>
          <w:i/>
          <w:iCs/>
          <w:color w:val="5B6770"/>
          <w:sz w:val="16"/>
          <w:szCs w:val="16"/>
        </w:rPr>
        <w:t xml:space="preserve">Indoor Performance Evaluation of LoRa 2.4 GHz</w:t>
      </w:r>
      <w:r>
        <w:rPr>
          <w:rFonts w:ascii="Calibri" w:cs="Calibri" w:eastAsia="Calibri" w:hAnsi="Calibri"/>
          <w:color w:val="5B6770"/>
          <w:sz w:val="16"/>
          <w:szCs w:val="16"/>
        </w:rPr>
        <w:t xml:space="preserve">, IEEE WCNC 2023 (INSA Lyon, Inria, Semtech) — évaluation exhaustive de 128 combinaisons de paramètres physiques, concluant que LoRa maintient une bonne connectivité à travers le bâtiment, avec une sensibilité mesurable à l'activité humaine et WiFi. </w:t>
      </w:r>
      <w:r>
        <w:rPr>
          <w:rFonts w:ascii="Calibri" w:cs="Calibri" w:eastAsia="Calibri" w:hAnsi="Calibri"/>
          <w:b/>
          <w:bCs/>
          <w:color w:val="5B6770"/>
          <w:sz w:val="16"/>
          <w:szCs w:val="16"/>
        </w:rPr>
        <w:t xml:space="preserve">À citer avec précaution : cette étude porte sur la bande 2,4 GHz et non sur l'EU868 du projet. Elle vaut pour la méthode, pas pour les valeurs.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6.  Comment les données sont écrites — vers un standard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6.1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La contrainte fondatrice : le temps d'antenne est la ressource rare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6.2 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Le lien entre distance et taille utile : plus le lien est difficile, plus le facteur d'étalement monte, plus la charge utile diminue — de 51 à 242 octets en EU868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6.3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Trame binaire contre texte : pourquoi le JSON est exclu sur la liaison radio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6.4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Index cumulatif contre incrément : rendre la perte d'un message sans conséquence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6.5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Formats existants : couche dérivée de ZCL chez Watteco, Cayenne LPP, formats propriétaires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6.6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La normalisation des codecs : spécification TS013 Payload Codec API et son implémentation dans ChirpStack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6.7  </w:t>
      </w: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Proposition de trame standard pour l'ECAM : structure, champs, poids d'impulsion, indicateurs de défaut, commandes descendantes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7.  Synthèse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7.1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Tableau de synthèse : chaque choix technique du projet et ce qui le fonde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7.2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Ce qui distingue le projet ECAM de l'état des pratiques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7.3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Limites et perspectives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8.  Références</w:t>
      </w:r>
    </w:p>
    <w:p>
      <w:pPr>
        <w:pBdr>
          <w:bottom w:val="single" w:color="C3CED4" w:sz="6" w:space="2"/>
        </w:pBdr>
        <w:spacing w:after="100" w:before="25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Le corpus fourni : ce qu'on en retient</w:t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69 documents, 1 588 pages. Le tri fait partie du travail : une part importante du corpus relève d'autres projets du programme DAISI.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5200"/>
        <w:gridCol w:w="1400"/>
        <w:gridCol w:w="3146"/>
      </w:tblGrid>
      <w:tr>
        <w:trPr>
          <w:tblHeader/>
        </w:trPr>
        <w:tc>
          <w:tcPr>
            <w:tcW w:type="dxa" w:w="52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14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31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5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Cœur du sujet — eau, comptage, LoRaWAN, bâtiment, propagation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36</w:t>
            </w:r>
          </w:p>
        </w:tc>
        <w:tc>
          <w:tcPr>
            <w:tcW w:type="dxa" w:w="31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Exploités</w:t>
            </w:r>
          </w:p>
        </w:tc>
      </w:tr>
      <w:tr>
        <w:tc>
          <w:tcPr>
            <w:tcW w:type="dxa" w:w="52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Contexte général — IoT, IIoT, bâtiments intelligents</w:t>
            </w:r>
          </w:p>
        </w:tc>
        <w:tc>
          <w:tcPr>
            <w:tcW w:type="dxa" w:w="14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6</w:t>
            </w:r>
          </w:p>
        </w:tc>
        <w:tc>
          <w:tcPr>
            <w:tcW w:type="dxa" w:w="31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Cités ponctuellement</w:t>
            </w:r>
          </w:p>
        </w:tc>
      </w:tr>
      <w:tr>
        <w:tc>
          <w:tcPr>
            <w:tcW w:type="dxa" w:w="5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Hors périmètre — agriculture, irrigation, textile, OPC-UA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27</w:t>
            </w:r>
          </w:p>
        </w:tc>
        <w:tc>
          <w:tcPr>
            <w:tcW w:type="dxa" w:w="31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Écartés</w:t>
            </w:r>
          </w:p>
        </w:tc>
      </w:tr>
    </w:tbl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/>
      </w:r>
    </w:p>
    <w:p>
      <w:pPr>
        <w:spacing w:after="90" w:line="250"/>
      </w:pPr>
      <w:r>
        <w:rPr>
          <w:rFonts w:ascii="Calibri" w:cs="Calibri" w:eastAsia="Calibri" w:hAnsi="Calibri"/>
          <w:color w:val="1F2933"/>
          <w:sz w:val="18"/>
          <w:szCs w:val="18"/>
        </w:rPr>
        <w:t xml:space="preserve">Les documents écartés ne sont pas inutiles : ils servent manifestement aux autres projets du programme. Les mentionner comme écartés, en disant pourquoi, vaut mieux que de les ignorer en silence — cela atteste que le tri a été fait.</w:t>
      </w:r>
    </w:p>
    <w:p>
      <w:pPr>
        <w:spacing w:after="70" w:before="17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Les six documents les plus utiles</w:t>
      </w:r>
    </w:p>
    <w:tbl>
      <w:tblPr>
        <w:tblW w:type="dxa" w:w="9746"/>
        <w:tblBorders>
          <w:top w:val="single" w:color="C3CED4" w:sz="2"/>
          <w:left w:val="none"/>
          <w:bottom w:val="single" w:color="C3CED4" w:sz="2"/>
          <w:right w:val="none"/>
          <w:insideH w:val="single" w:color="D9E1E5" w:sz="2"/>
          <w:insideV w:val="none"/>
        </w:tblBorders>
      </w:tblPr>
      <w:tblGrid>
        <w:gridCol w:w="4400"/>
        <w:gridCol w:w="5346"/>
      </w:tblGrid>
      <w:tr>
        <w:trPr>
          <w:tblHeader/>
        </w:trPr>
        <w:tc>
          <w:tcPr>
            <w:tcW w:type="dxa" w:w="4400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5346"/>
            <w:shd w:fill="0B556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Pourquoi</w:t>
            </w:r>
          </w:p>
        </w:tc>
      </w:tr>
      <w:tr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Pagano et al., Massive IoT for water distribution systems, Ad Hoc Networks 2025</w:t>
            </w:r>
          </w:p>
        </w:tc>
        <w:tc>
          <w:tcPr>
            <w:tcW w:type="dxa" w:w="53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Revue de 255 études : la colonne vertébrale académique du § 4</w:t>
            </w:r>
          </w:p>
        </w:tc>
      </w:tr>
      <w:tr>
        <w:tc>
          <w:tcPr>
            <w:tcW w:type="dxa" w:w="44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Kairos Water, Smart building water metering with LoRaWAN</w:t>
            </w:r>
          </w:p>
        </w:tc>
        <w:tc>
          <w:tcPr>
            <w:tcW w:type="dxa" w:w="53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Le seul cas de bâtiment tertiaire du corpus, le plus proche de l'ECAM</w:t>
            </w:r>
          </w:p>
        </w:tc>
      </w:tr>
      <w:tr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Netmore et Semtech, Yorkshire Water</w:t>
            </w:r>
          </w:p>
        </w:tc>
        <w:tc>
          <w:tcPr>
            <w:tcW w:type="dxa" w:w="53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Le cas à grande échelle, avec des résultats chiffrés</w:t>
            </w:r>
          </w:p>
        </w:tc>
      </w:tr>
      <w:tr>
        <w:tc>
          <w:tcPr>
            <w:tcW w:type="dxa" w:w="44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Mainlink, Húsafell, Islande</w:t>
            </w:r>
          </w:p>
        </w:tc>
        <w:tc>
          <w:tcPr>
            <w:tcW w:type="dxa" w:w="53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Résultat quantifié — 30 % — sur un petit périmètre, compteurs Axioma</w:t>
            </w:r>
          </w:p>
        </w:tc>
      </w:tr>
      <w:tr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SPL Eau du Bassin Rennais, étude 2024</w:t>
            </w:r>
          </w:p>
        </w:tc>
        <w:tc>
          <w:tcPr>
            <w:tcW w:type="dxa" w:w="534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Quantification française et méthodologie d'évaluation</w:t>
            </w:r>
          </w:p>
        </w:tc>
      </w:tr>
      <w:tr>
        <w:tc>
          <w:tcPr>
            <w:tcW w:type="dxa" w:w="4400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Fernández Hernández et al., IEEE WCNC 2023</w:t>
            </w:r>
          </w:p>
        </w:tc>
        <w:tc>
          <w:tcPr>
            <w:tcW w:type="dxa" w:w="5346"/>
            <w:shd w:fill="EDF2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35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7"/>
                <w:szCs w:val="17"/>
              </w:rPr>
              <w:t xml:space="preserve">Propagation en intérieur, travail académique français</w:t>
            </w:r>
          </w:p>
        </w:tc>
      </w:tr>
    </w:tbl>
    <w:p>
      <w:pPr>
        <w:pBdr>
          <w:bottom w:val="single" w:color="C3CED4" w:sz="6" w:space="2"/>
        </w:pBdr>
        <w:spacing w:after="100" w:before="250"/>
      </w:pPr>
      <w:r>
        <w:rPr>
          <w:rFonts w:ascii="Calibri" w:cs="Calibri" w:eastAsia="Calibri" w:hAnsi="Calibri"/>
          <w:b/>
          <w:bCs/>
          <w:color w:val="0B5563"/>
          <w:sz w:val="22"/>
          <w:szCs w:val="22"/>
        </w:rPr>
        <w:t xml:space="preserve">Trois points soumis à votre validation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1.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La structure en huit parties convient-elle, et l'équilibre entre elles ? Le § 2 est volontairement le plus développé, conformément au « CAS D'USAGES ! ».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2.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Les retours d'expérience industriels manquent au corpus fourni. Faut-il engager cette recherche, et avec quel accès documentaire ? L'Usine Nouvelle est en partie payant.</w:t>
      </w:r>
    </w:p>
    <w:p>
      <w:pPr>
        <w:spacing w:after="45" w:line="240"/>
        <w:ind w:left="360" w:hanging="360"/>
      </w:pPr>
      <w:r>
        <w:rPr>
          <w:rFonts w:ascii="Calibri" w:cs="Calibri" w:eastAsia="Calibri" w:hAnsi="Calibri"/>
          <w:b/>
          <w:bCs/>
          <w:color w:val="0B5563"/>
          <w:sz w:val="18"/>
          <w:szCs w:val="18"/>
        </w:rPr>
        <w:t xml:space="preserve">3.  </w:t>
      </w:r>
      <w:r>
        <w:rPr>
          <w:rFonts w:ascii="Calibri" w:cs="Calibri" w:eastAsia="Calibri" w:hAnsi="Calibri"/>
          <w:b w:val="false"/>
          <w:bCs w:val="false"/>
          <w:color w:val="1F2933"/>
          <w:sz w:val="18"/>
          <w:szCs w:val="18"/>
        </w:rPr>
        <w:t xml:space="preserve">Le § 6 débouche sur une proposition de standard de trame. Est-ce attendu comme un livrable du projet, ou seulement comme une revue de l'existant ?</w:t>
      </w:r>
    </w:p>
    <w:sectPr>
      <w:pgSz w:w="11906" w:h="16838" w:orient="portrait"/>
      <w:pgMar w:top="1008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2026-09-21T08:29:26.147Z</dcterms:created>
  <dcterms:modified xsi:type="dcterms:W3CDTF">2026-09-21T08:29:26.156Z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