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4"/>
          <w:szCs w:val="34"/>
        </w:rPr>
        <w:t xml:space="preserve">État de l'art</w:t>
      </w:r>
    </w:p>
    <w:p>
      <w:pPr>
        <w:spacing w:after="55"/>
      </w:pPr>
      <w:r>
        <w:rPr>
          <w:rFonts w:ascii="Calibri" w:cs="Calibri" w:eastAsia="Calibri" w:hAnsi="Calibri"/>
          <w:color w:val="5B6770"/>
          <w:sz w:val="21"/>
          <w:szCs w:val="21"/>
        </w:rPr>
        <w:t xml:space="preserve">Squelette du document : structure des huit parties</w:t>
      </w:r>
    </w:p>
    <w:p>
      <w:pPr>
        <w:pBdr>
          <w:bottom w:val="single" w:color="0B5563" w:sz="12" w:space="5"/>
        </w:pBdr>
        <w:spacing w:after="15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DAISI  ·  Livrable T1  ·  P. Thiboult et L. Grot  ·  Encadrants : I. Martinez et D. Boiteau</w:t>
      </w:r>
    </w:p>
    <w:tbl>
      <w:tblPr>
        <w:tblW w:type="dxa" w:w="9746"/>
        <w:tblBorders>
          <w:top w:val="none"/>
          <w:left w:val="single" w:color="0B5563" w:sz="18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DF2F4" w:val="clear"/>
            <w:tcMar>
              <w:top w:type="dxa" w:w="80"/>
              <w:left w:type="dxa" w:w="15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Ce document reprend la structure de la version rédigée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(6 pages, 30 références). Les points listés sous chaque partie sont les paragraphes du document ; les mentions entre crochets signalent un tableau ou un encadré.</w:t>
            </w:r>
          </w:p>
        </w:tc>
      </w:tr>
    </w:tbl>
    <w:p>
      <w:pPr>
        <w:spacing w:after="90"/>
      </w:pP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Contexte et besoin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La ressource et son prix se tendent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Un seul compteur ne suffit pas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Ce qui rend une fuite détectable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objectifs du système et ce qu'ils imposent techniquement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Cas d'usage : ce qui se fait déjà</w:t>
      </w:r>
    </w:p>
    <w:p>
      <w:pPr>
        <w:keepNext/>
        <w:spacing w:after="45" w:before="90"/>
        <w:ind w:left="28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2.1   </w:t>
      </w: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Bâtiment : le cas le plus proche de l'ECAM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Kairos Water « Moses », Amérique du Nord, 2022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EnthuTech, Bangalore, 2025</w:t>
      </w:r>
    </w:p>
    <w:p>
      <w:pPr>
        <w:keepNext/>
        <w:spacing w:after="45" w:before="90"/>
        <w:ind w:left="28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2.2   </w:t>
      </w: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Collectivité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Rennes Métropole, réseau Ecodata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Saint-Grégoire, et SPL Eau du Bassin Rennais</w:t>
      </w:r>
    </w:p>
    <w:p>
      <w:pPr>
        <w:keepNext/>
        <w:spacing w:after="45" w:before="90"/>
        <w:ind w:left="28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2.3   </w:t>
      </w: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Réseau de distribution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Yorkshire Water, Royaume-Uni, 2024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Húsafell, Islande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Palerme, Panama, Espagne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les six cas, leur échelle, leur résultat, ce qui est transposable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keepNext/>
        <w:spacing w:after="45" w:before="90"/>
        <w:ind w:left="28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2.4   </w:t>
      </w: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Deux réserves à porter au dossier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Encadré : la lacune sur les retours industriels, et la non-transposabilité des économies annoncées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Partie compteur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principes de mesure, volumétrique, à vitesse, statique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Cadre métrologique : MID, OIML R49, EN ISO 4064, rapport R et débits Q1 à Q4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Encadré : un compteur surdimensionné ne voit pas les fuites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interfaces de sortie, impulsion, encodeur, radio intégrée, rétrofit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La sortie impulsion, dénominateur commun de l'industrie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comparaison des architectures de point de mesure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Arbitrage entre mécanique à impulsions et ultrasonique intégré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4.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Partie technologie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panorama des technologies de transmission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Encadré : le piège wM-Bus, même bande, protocoles incompatibles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Pourquoi LoRaWAN ici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Serveur de réseau : le choix de ChirpStack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Ce que dit la littérature sur le passage à l'échelle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5.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Théorie de la propagation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La modulation LoRa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sensibilité, SNR et charge utile par facteur d'étalement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Le bilan de liaison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sous-bandes et rapport cyclique, ETSI EN 300 220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Modèles de propagation en intérieur, et la réserve sur l'étude 2,4 GHz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Encadré : atténuation selon l'emplacement, la correction sous-plafond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Méthode de mesure sur site, livrable T3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6.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Comment les données sont écrites, vers un standard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La ressource rare est le temps d'antenne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Le lien entre distance et taille utile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Binaire, pas texte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Index cumulatif, pas incrément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Les formats existants et la spécification TS013</w:t>
      </w:r>
    </w:p>
    <w:p>
      <w:pPr>
        <w:keepNext/>
        <w:spacing w:after="45" w:before="90"/>
        <w:ind w:left="28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6.1   </w:t>
      </w: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Proposition de trame pour l'ECAM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les neuf octets, champ par champ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70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Périodicité et commandes descendantes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7.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Synthèse</w:t>
      </w:r>
    </w:p>
    <w:p>
      <w:pPr>
        <w:spacing w:after="30" w:line="232"/>
        <w:ind w:left="560"/>
      </w:pPr>
      <w:r>
        <w:rPr>
          <w:rFonts w:ascii="Calibri" w:cs="Calibri" w:eastAsia="Calibri" w:hAnsi="Calibri"/>
          <w:color w:val="5B6770"/>
          <w:sz w:val="17"/>
          <w:szCs w:val="17"/>
        </w:rPr>
        <w:t xml:space="preserve">[ </w:t>
      </w:r>
      <w:r>
        <w:rPr>
          <w:rFonts w:ascii="Calibri" w:cs="Calibri" w:eastAsia="Calibri" w:hAnsi="Calibri"/>
          <w:i/>
          <w:iCs/>
          <w:color w:val="5B6770"/>
          <w:sz w:val="17"/>
          <w:szCs w:val="17"/>
        </w:rPr>
        <w:t xml:space="preserve">Tableau : chaque choix du projet et ce qui le fonde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]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Ce qui distingue le projet de l'état des pratiques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Limites</w:t>
      </w:r>
    </w:p>
    <w:p>
      <w:pPr>
        <w:keepNext/>
        <w:pBdr>
          <w:bottom w:val="single" w:color="C3CED4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8.   </w:t>
      </w: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Références</w:t>
      </w:r>
    </w:p>
    <w:p>
      <w:pPr>
        <w:spacing w:after="30" w:line="232"/>
        <w:ind w:left="420" w:hanging="140"/>
      </w:pPr>
      <w:r>
        <w:rPr>
          <w:rFonts w:ascii="Calibri" w:cs="Calibri" w:eastAsia="Calibri" w:hAnsi="Calibri"/>
          <w:b/>
          <w:bCs/>
          <w:color w:val="0B5563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30 références, dont 22 issues du corpus fourni par les encadrants</w:t>
      </w:r>
    </w:p>
    <w:sectPr>
      <w:pgSz w:w="11906" w:h="16838" w:orient="portrait"/>
      <w:pgMar w:top="936" w:right="1152" w:bottom="79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2026-09-28T09:54:10.868Z</dcterms:created>
  <dcterms:modified xsi:type="dcterms:W3CDTF">2026-09-28T09:54:10.893Z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