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0B5563"/>
          <w:sz w:val="34"/>
          <w:szCs w:val="34"/>
        </w:rPr>
        <w:t xml:space="preserve">État de l'art</w:t>
      </w:r>
    </w:p>
    <w:p>
      <w:pPr>
        <w:spacing w:after="60"/>
      </w:pPr>
      <w:r>
        <w:rPr>
          <w:rFonts w:ascii="Calibri" w:cs="Calibri" w:eastAsia="Calibri" w:hAnsi="Calibri"/>
          <w:color w:val="5B6770"/>
          <w:sz w:val="22"/>
          <w:szCs w:val="22"/>
        </w:rPr>
        <w:t xml:space="preserve">Suivi de la consommation d'eau à l'ECAM par réseau LoRaWAN</w:t>
      </w:r>
    </w:p>
    <w:p>
      <w:pPr>
        <w:pBdr>
          <w:bottom w:val="single" w:color="0B5563" w:sz="12" w:space="6"/>
        </w:pBdr>
        <w:spacing w:after="170"/>
      </w:pPr>
      <w:r>
        <w:rPr>
          <w:rFonts w:ascii="Calibri" w:cs="Calibri" w:eastAsia="Calibri" w:hAnsi="Calibri"/>
          <w:color w:val="5B6770"/>
          <w:sz w:val="15"/>
          <w:szCs w:val="15"/>
        </w:rPr>
        <w:t xml:space="preserve">PRI 2026-2027  ·  Projet collaboratif DAISI  ·  Livrable T1  ·  Paul Thiboult et Lilian Grot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1.  Objet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Ce document recense les technologies disponibles pour le comptage et la télérelève de l'eau, et justifie les choix retenus pour le projet. Il ne vise pas l'exhaustivité : chaque section retient ce qui conditionne une décision.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2.  Mesurer l'eau : ce qui conditionne la détection de fuite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 établissement ne dispose en général que d'un point de mesure, le compteur du distributeur, relevé à la période de facturation. Le sous-comptage répartit la consommation par zone ; détecter une fuite exige en outre un relevé fréquent, au pas horaire ou mieux.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Une fuite de bâtiment — typiquement une chasse d'eau qui coule — est invisible à l'usage mais possède deux propriétés qui la rendent détectable par la mesure : elle est continue, y compris la nuit, et stable, donc elle décale le niveau de base sans déformer le profil de consommation.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2.1  La classe métrologique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Un compteur n'a pas une précision uniforme sur toute sa plage. Il est caractérisé par le rapport R = Q3/Q1, normalisé par EN ISO 4064 et OIML R49 [1] et repris par la directive MID [2]. Les valeurs normalisées sont R40, R80, R160, R200, R400, R630 et R1000 ; R160 correspond à l'ancienne classe C.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1500"/>
        <w:gridCol w:w="4200"/>
        <w:gridCol w:w="4046"/>
      </w:tblGrid>
      <w:tr>
        <w:trPr>
          <w:tblHeader/>
        </w:trPr>
        <w:tc>
          <w:tcPr>
            <w:tcW w:type="dxa" w:w="15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Débit</w:t>
            </w:r>
          </w:p>
        </w:tc>
        <w:tc>
          <w:tcPr>
            <w:tcW w:type="dxa" w:w="4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Définition</w:t>
            </w:r>
          </w:p>
        </w:tc>
        <w:tc>
          <w:tcPr>
            <w:tcW w:type="dxa" w:w="40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Q1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minimal garanti</w:t>
            </w:r>
          </w:p>
        </w:tc>
        <w:tc>
          <w:tcPr>
            <w:tcW w:type="dxa" w:w="40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Q3 / R</w:t>
            </w:r>
          </w:p>
        </w:tc>
      </w:tr>
      <w:tr>
        <w:tc>
          <w:tcPr>
            <w:tcW w:type="dxa" w:w="15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Q2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de transition</w:t>
            </w:r>
          </w:p>
        </w:tc>
        <w:tc>
          <w:tcPr>
            <w:tcW w:type="dxa" w:w="40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1,6 × Q1</w:t>
            </w:r>
          </w:p>
        </w:tc>
      </w:tr>
      <w:tr>
        <w:tc>
          <w:tcPr>
            <w:tcW w:type="dxa" w:w="15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Q3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permanent</w:t>
            </w:r>
          </w:p>
        </w:tc>
        <w:tc>
          <w:tcPr>
            <w:tcW w:type="dxa" w:w="40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Valeur nominale du compteur</w:t>
            </w:r>
          </w:p>
        </w:tc>
      </w:tr>
      <w:tr>
        <w:tc>
          <w:tcPr>
            <w:tcW w:type="dxa" w:w="15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Q4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Débit de surcharge</w:t>
            </w:r>
          </w:p>
        </w:tc>
        <w:tc>
          <w:tcPr>
            <w:tcW w:type="dxa" w:w="40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1,25 × Q3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Conséquence directe.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Un compteur R160 de Q3 = 2 500 L/h a un Q1 de 15,6 L/h : en dessous, sa précision n'est plus garantie. Un compteur surdimensionné ou de faible rapport R ne « voit » pas les petits débits — une fuite peut rester sous son seuil de démarrage et n'être jamais comptée. Le dimensionnement se fait donc sur le débit réel attendu, non sur le diamètre de la canalisation.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2.2  Les interfaces de sortie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300"/>
        <w:gridCol w:w="4200"/>
        <w:gridCol w:w="3246"/>
      </w:tblGrid>
      <w:tr>
        <w:trPr>
          <w:tblHeader/>
        </w:trPr>
        <w:tc>
          <w:tcPr>
            <w:tcW w:type="dxa" w:w="23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Sortie</w:t>
            </w:r>
          </w:p>
        </w:tc>
        <w:tc>
          <w:tcPr>
            <w:tcW w:type="dxa" w:w="4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Principe</w:t>
            </w:r>
          </w:p>
        </w:tc>
        <w:tc>
          <w:tcPr>
            <w:tcW w:type="dxa" w:w="32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Ce qu'elle permet</w:t>
            </w:r>
          </w:p>
        </w:tc>
      </w:tr>
      <w:tr>
        <w:tc>
          <w:tcPr>
            <w:tcW w:type="dxa" w:w="2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Aucune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Lecture visuelle du cadran</w:t>
            </w:r>
          </w:p>
        </w:tc>
        <w:tc>
          <w:tcPr>
            <w:tcW w:type="dxa" w:w="32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Rien d'automatique</w:t>
            </w:r>
          </w:p>
        </w:tc>
      </w:tr>
      <w:tr>
        <w:tc>
          <w:tcPr>
            <w:tcW w:type="dxa" w:w="23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Impulsion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Un aimant ferme un contact sec tous les P litres</w:t>
            </w:r>
          </w:p>
        </w:tc>
        <w:tc>
          <w:tcPr>
            <w:tcW w:type="dxa" w:w="32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Comptage par un équipement externe</w:t>
            </w:r>
          </w:p>
        </w:tc>
      </w:tr>
      <w:tr>
        <w:tc>
          <w:tcPr>
            <w:tcW w:type="dxa" w:w="23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Encodeur</w:t>
            </w:r>
          </w:p>
        </w:tc>
        <w:tc>
          <w:tcPr>
            <w:tcW w:type="dxa" w:w="4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Transmission de l'index absolu sur bus</w:t>
            </w:r>
          </w:p>
        </w:tc>
        <w:tc>
          <w:tcPr>
            <w:tcW w:type="dxa" w:w="32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 de perte au redémarrage</w:t>
            </w:r>
          </w:p>
        </w:tc>
      </w:tr>
      <w:tr>
        <w:tc>
          <w:tcPr>
            <w:tcW w:type="dxa" w:w="23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Radio intégrée</w:t>
            </w:r>
          </w:p>
        </w:tc>
        <w:tc>
          <w:tcPr>
            <w:tcW w:type="dxa" w:w="4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Émetteur dans le compteur</w:t>
            </w:r>
          </w:p>
        </w:tc>
        <w:tc>
          <w:tcPr>
            <w:tcW w:type="dxa" w:w="32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Aucun câblage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sortie impulsion est le dénominateur commun de l'industrie : deux fils, aucune électronique, lisible par n'importe quel équipement. C'est une option de commande et non un équipement standard. Le poids d'impulsion va de 1 à 100 litres selon le calibre, et détermine la résolution de la mesure (§ 6.3). Limite à connaître : l'impulsion transmet un incrément, non un index absolu ; une coupure d'alimentation du compteur externe impose un recalage.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3.  Transmettre : panorama des technologies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100"/>
        <w:gridCol w:w="2000"/>
        <w:gridCol w:w="1900"/>
        <w:gridCol w:w="3746"/>
      </w:tblGrid>
      <w:tr>
        <w:trPr>
          <w:tblHeader/>
        </w:trPr>
        <w:tc>
          <w:tcPr>
            <w:tcW w:type="dxa" w:w="21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Famille</w:t>
            </w:r>
          </w:p>
        </w:tc>
        <w:tc>
          <w:tcPr>
            <w:tcW w:type="dxa" w:w="20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Portée</w:t>
            </w:r>
          </w:p>
        </w:tc>
        <w:tc>
          <w:tcPr>
            <w:tcW w:type="dxa" w:w="19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Alimentation</w:t>
            </w:r>
          </w:p>
        </w:tc>
        <w:tc>
          <w:tcPr>
            <w:tcW w:type="dxa" w:w="37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Infrastructure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Filaire (M-Bus, Modbus)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Longueur du câble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Bus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Câblage à tirer</w:t>
            </w:r>
          </w:p>
        </w:tc>
      </w:tr>
      <w:tr>
        <w:tc>
          <w:tcPr>
            <w:tcW w:type="dxa" w:w="21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Radio courte portée (Zigbee, WiFi)</w:t>
            </w:r>
          </w:p>
        </w:tc>
        <w:tc>
          <w:tcPr>
            <w:tcW w:type="dxa" w:w="20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Dizaines de mètres</w:t>
            </w:r>
          </w:p>
        </w:tc>
        <w:tc>
          <w:tcPr>
            <w:tcW w:type="dxa" w:w="19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 courte ou secteur</w:t>
            </w:r>
          </w:p>
        </w:tc>
        <w:tc>
          <w:tcPr>
            <w:tcW w:type="dxa" w:w="37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Répéteurs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wM-Bus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Centaines de mètres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Concentrateurs</w:t>
            </w:r>
          </w:p>
        </w:tc>
      </w:tr>
      <w:tr>
        <w:tc>
          <w:tcPr>
            <w:tcW w:type="dxa" w:w="21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LoRaWAN privé</w:t>
            </w:r>
          </w:p>
        </w:tc>
        <w:tc>
          <w:tcPr>
            <w:tcW w:type="dxa" w:w="20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Kilomètres</w:t>
            </w:r>
          </w:p>
        </w:tc>
        <w:tc>
          <w:tcPr>
            <w:tcW w:type="dxa" w:w="1900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shd w:fill="FDF3E7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Passerelles à installer</w:t>
            </w:r>
          </w:p>
        </w:tc>
      </w:tr>
      <w:tr>
        <w:tc>
          <w:tcPr>
            <w:tcW w:type="dxa" w:w="21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LPWAN opéré (NB-IoT, LTE-M)</w:t>
            </w:r>
          </w:p>
        </w:tc>
        <w:tc>
          <w:tcPr>
            <w:tcW w:type="dxa" w:w="2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Couverture opérateur</w:t>
            </w:r>
          </w:p>
        </w:tc>
        <w:tc>
          <w:tcPr>
            <w:tcW w:type="dxa" w:w="19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Pile, années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Abonnement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filaire est irréprochable mais impose un génie civil supérieur au coût de la mesure. La radio courte portée n'atteint pas des compteurs répartis en sous-sol. Le LPWAN opéré supprime l'infrastructure mais introduit un abonnement par appareil et une dépendance à une couverture que l'on ne peut pas améliorer soi-même — précisément là où elle est la plus incertaine.</w:t>
      </w:r>
    </w:p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Le piège wM-Bus.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Normalisé par EN 13757-4 [3], c'est le standard européen de la télérelève de fluides, et il émet dans la même bande 868 MHz que LoRaWAN. Un compteur annoncé « communicant, 868 MHz » est très souvent un compteur wM-Bus — non interopérable avec une passerelle LoRaWAN. Point de vigilance à l'achat.</w:t>
      </w:r>
    </w:p>
    <w:p>
      <w:pPr>
        <w:spacing w:after="90" w:line="25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Pourquoi LoRaWAN ici.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L'ECAM dispose déjà de trois passerelles, ce qui réduit le coût marginal d'un point de mesure à celui du nœud. Le réseau est privé : aucun abonnement, couverture améliorable en ajoutant une passerelle, et les données restent dans l'établissement. Le prix à payer est un débit très faible et un temps d'antenne réglementé.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4.  LoRaWAN : ce qui contraint le dimensionnement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Les passerelles ne sont pas adressées : un nœud émet, toutes celles à portée reçoivent, le serveur de réseau déduplique — d'où une redondance gratuite dès qu'un point est couvert par deux passerelles. Les compteurs sur pile relèvent de la Classe A, qui n'écoute qu'après avoir émis : un ordre de configuration n'est donc reçu qu'au cycle suivant.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4.1  Temps d'antenne et réglementation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bande est régie par ETSI EN 300 220 [4], qui impose un rapport cyclique par sous-bande et plafonne la puissance à 25 mW ERP, soit environ +16 dBm EIRP.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3000"/>
        <w:gridCol w:w="2200"/>
        <w:gridCol w:w="4546"/>
      </w:tblGrid>
      <w:tr>
        <w:trPr>
          <w:tblHeader/>
        </w:trPr>
        <w:tc>
          <w:tcPr>
            <w:tcW w:type="dxa" w:w="30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Sous-bande</w:t>
            </w:r>
          </w:p>
        </w:tc>
        <w:tc>
          <w:tcPr>
            <w:tcW w:type="dxa" w:w="2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Rapport cyclique</w:t>
            </w:r>
          </w:p>
        </w:tc>
        <w:tc>
          <w:tcPr>
            <w:tcW w:type="dxa" w:w="45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863 – 865 MHz</w:t>
            </w:r>
          </w:p>
        </w:tc>
        <w:tc>
          <w:tcPr>
            <w:tcW w:type="dxa" w:w="2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0,1 %</w:t>
            </w:r>
          </w:p>
        </w:tc>
        <w:tc>
          <w:tcPr>
            <w:tcW w:type="dxa" w:w="45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La plus contrainte</w:t>
            </w:r>
          </w:p>
        </w:tc>
      </w:tr>
      <w:tr>
        <w:tc>
          <w:tcPr>
            <w:tcW w:type="dxa" w:w="30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868,0 – 868,6 MHz</w:t>
            </w:r>
          </w:p>
        </w:tc>
        <w:tc>
          <w:tcPr>
            <w:tcW w:type="dxa" w:w="2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1 %</w:t>
            </w:r>
          </w:p>
        </w:tc>
        <w:tc>
          <w:tcPr>
            <w:tcW w:type="dxa" w:w="45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Canaux LoRaWAN obligatoires : 868,1 / 868,3 / 868,5</w:t>
            </w:r>
          </w:p>
        </w:tc>
      </w:tr>
      <w:tr>
        <w:tc>
          <w:tcPr>
            <w:tcW w:type="dxa" w:w="30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867,1 – 867,9 MHz</w:t>
            </w:r>
          </w:p>
        </w:tc>
        <w:tc>
          <w:tcPr>
            <w:tcW w:type="dxa" w:w="2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1 %</w:t>
            </w:r>
          </w:p>
        </w:tc>
        <w:tc>
          <w:tcPr>
            <w:tcW w:type="dxa" w:w="45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Cinq canaux additionnels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charge utile applicative dépend du facteur d'étalement [5] : 51 octets de DR0 à DR2 (SF12 à SF10), 115 à DR3, 222 au-delà. Chaque incrément de SF double approximativement le temps d'antenne et améliore le bilan de liaison d'environ 3 dB. Un relevé horaire de quelques octets tient confortablement dans ces limites, y compris au pire cas SF12.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4.2  Bilan de liaison et propagation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LoRa démodule sous le niveau de bruit, ce qu'aucune modulation classique ne permet : à SF12, la sensibilité atteint environ −137 dBm pour un SNR de −20 dB, contre −123 dBm et −7,5 dB à SF7 [6]. En limite de portée, c'est le SNR, plus que le RSSI, qui conditionne la réception.</w:t>
      </w:r>
    </w:p>
    <w:tbl>
      <w:tblPr>
        <w:tblW w:type="dxa" w:w="9746"/>
        <w:tblBorders>
          <w:top w:val="none"/>
          <w:left w:val="single" w:color="0B5563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DF2F4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Le point dur du projet. 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Une campagne de mesures publiée sur l'instrumentation de bâtiments profonds rapporte une atténuation d'environ 10 dB par plancher vers les étages, mais d'environ </w:t>
            </w:r>
            <w:r>
              <w:rPr>
                <w:rFonts w:ascii="Calibri" w:cs="Calibri" w:eastAsia="Calibri" w:hAnsi="Calibri"/>
                <w:b/>
                <w:bCs/>
                <w:color w:val="1F2933"/>
                <w:sz w:val="18"/>
                <w:szCs w:val="18"/>
              </w:rPr>
              <w:t xml:space="preserve">55 dB pour atteindre le sous-sol</w:t>
            </w:r>
            <w:r>
              <w:rPr>
                <w:rFonts w:ascii="Calibri" w:cs="Calibri" w:eastAsia="Calibri" w:hAnsi="Calibri"/>
                <w:color w:val="1F2933"/>
                <w:sz w:val="18"/>
                <w:szCs w:val="18"/>
              </w:rPr>
              <w:t xml:space="preserve"> [7]. Cet écart d'un facteur cinq explique pourquoi un bilan de liaison établi sur des étages courants ne se transpose pas à un local technique enterré — et pourquoi la campagne de mesures du livrable T3 est indispensable.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/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Les modèles de propagation intérieure — ITU-R P.1238 [8], et les modèles multi-murs de type COST 231 qui ajoutent au modèle en espace libre une perte par paroi traversée — permettent d'estimer ces pertes, avec une incertitude importante en sous-sol. La valeur du livrable T3 réside dans l'écart mesuré entre prédiction et terrain.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5.  Serveur de réseau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serveur de réseau gère les adhésions, déduplique les messages, pilote l'adaptation de débit et expose les données à l'application.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600"/>
        <w:gridCol w:w="3400"/>
        <w:gridCol w:w="3746"/>
      </w:tblGrid>
      <w:tr>
        <w:trPr>
          <w:tblHeader/>
        </w:trPr>
        <w:tc>
          <w:tcPr>
            <w:tcW w:type="dxa" w:w="26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Solution</w:t>
            </w:r>
          </w:p>
        </w:tc>
        <w:tc>
          <w:tcPr>
            <w:tcW w:type="dxa" w:w="34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Points forts</w:t>
            </w:r>
          </w:p>
        </w:tc>
        <w:tc>
          <w:tcPr>
            <w:tcW w:type="dxa" w:w="37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Limites</w:t>
            </w:r>
          </w:p>
        </w:tc>
      </w:tr>
      <w:tr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ChirpStack</w:t>
            </w:r>
          </w:p>
        </w:tc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Libre, auto-hébergé, intégration MQTT native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Infrastructure à maintenir</w:t>
            </w:r>
          </w:p>
        </w:tc>
      </w:tr>
      <w:tr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The Things Stack</w:t>
            </w:r>
          </w:p>
        </w:tc>
        <w:tc>
          <w:tcPr>
            <w:tcW w:type="dxa" w:w="34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Mise en œuvre immédiate</w:t>
            </w:r>
          </w:p>
        </w:tc>
        <w:tc>
          <w:tcPr>
            <w:tcW w:type="dxa" w:w="37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Dépendance externe ; usage équitable sur l'offre publique</w:t>
            </w:r>
          </w:p>
        </w:tc>
      </w:tr>
      <w:tr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Offres opérées</w:t>
            </w:r>
          </w:p>
        </w:tc>
        <w:tc>
          <w:tcPr>
            <w:tcW w:type="dxa" w:w="34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Exploitation déléguée</w:t>
            </w:r>
          </w:p>
        </w:tc>
        <w:tc>
          <w:tcPr>
            <w:tcW w:type="dxa" w:w="37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Coût récurrent, données hors établissement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ChirpStack [9] est retenu : les données restent dans l'établissement, aucune contrainte d'usage équitable ne s'applique sur un réseau privé, et l'interface sert à la fois la visualisation et le paramétrage à distance des nœuds — ce qui évite de développer un outil d'administration.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6.  Détecter les fuites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6.1  Le bilan hydraulique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Le principe est comptable : ce qui entre doit se retrouver en sortie.</w:t>
      </w:r>
    </w:p>
    <w:tbl>
      <w:tblPr>
        <w:tblW w:type="dxa" w:w="9746"/>
        <w:tblBorders>
          <w:top w:val="none"/>
          <w:left w:val="single" w:color="0B5563" w:sz="18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DF2F4" w:val="clear"/>
            <w:tcMar>
              <w:top w:type="dxa" w:w="90"/>
              <w:left w:type="dxa" w:w="160"/>
              <w:bottom w:type="dxa" w:w="90"/>
              <w:right w:type="dxa" w:w="120"/>
            </w:tcMar>
          </w:tcPr>
          <w:p>
            <w:pPr>
              <w:spacing w:after="0" w:line="2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0B5563"/>
                <w:sz w:val="19"/>
                <w:szCs w:val="19"/>
              </w:rPr>
              <w:t xml:space="preserve">Résidu  =  Index général  −  Σ (sous-compteurs)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/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C'est la transposition à l'échelle d'un bâtiment de la méthodologie de bilan hydrique de l'IWA [10], dont le vocabulaire s'applique directement : chaque zone sous-comptée constitue une DMA (District Metered Area). Trois propriétés du résidu : il agrège toutes les zones non comptées, il cumule les erreurs de tous les compteurs du bilan, et il contient les fuites puisqu'une fuite n'est comptée nulle part ailleurs.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6.2  Le débit minimum nocturne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Pendant les heures creuses, la consommation légitime d'une zone inoccupée tend vers zéro : ce qui subsiste est du débit non légitime. Le débit nocturne net — minimum nocturne moins consommation nocturne légitime — est l'estimateur de fuite, et une alarme se déclenche au franchissement d'un seuil calibré sur l'historique [10][11].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L'intérêt décisif est que cet indicateur reste sensible quel que soit le nombre de zones agrégées, puisque toutes contribuent zéro la nuit. Sa limite est symétrique : il indique qu'une fuite existe, non où elle se trouve. La localisation reste une inspection humaine.</w:t>
      </w:r>
    </w:p>
    <w:p>
      <w:pPr>
        <w:spacing w:after="70" w:before="170"/>
      </w:pPr>
      <w:r>
        <w:rPr>
          <w:rFonts w:ascii="Calibri" w:cs="Calibri" w:eastAsia="Calibri" w:hAnsi="Calibri"/>
          <w:b/>
          <w:bCs/>
          <w:color w:val="1F2933"/>
          <w:sz w:val="19"/>
          <w:szCs w:val="19"/>
        </w:rPr>
        <w:t xml:space="preserve">6.3  Ce que la chaîne de mesure impose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La plus petite fuite décelable est bornée par la résolution de la mesure. Avec un poids d'impulsion de P litres et un relevé horaire :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3200"/>
        <w:gridCol w:w="3200"/>
        <w:gridCol w:w="3346"/>
      </w:tblGrid>
      <w:tr>
        <w:trPr>
          <w:tblHeader/>
        </w:trPr>
        <w:tc>
          <w:tcPr>
            <w:tcW w:type="dxa" w:w="3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Poids d'impulsion</w:t>
            </w:r>
          </w:p>
        </w:tc>
        <w:tc>
          <w:tcPr>
            <w:tcW w:type="dxa" w:w="32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Résolution horaire</w:t>
            </w:r>
          </w:p>
        </w:tc>
        <w:tc>
          <w:tcPr>
            <w:tcW w:type="dxa" w:w="33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Moyennée sur 8 h de nuit</w:t>
            </w:r>
          </w:p>
        </w:tc>
      </w:tr>
      <w:tr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10 L</w:t>
            </w:r>
          </w:p>
        </w:tc>
        <w:tc>
          <w:tcPr>
            <w:tcW w:type="dxa" w:w="32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10 L/h</w:t>
            </w:r>
          </w:p>
        </w:tc>
        <w:tc>
          <w:tcPr>
            <w:tcW w:type="dxa" w:w="33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≈ 1,3 L/h</w:t>
            </w:r>
          </w:p>
        </w:tc>
      </w:tr>
      <w:tr>
        <w:tc>
          <w:tcPr>
            <w:tcW w:type="dxa" w:w="3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100 L</w:t>
            </w:r>
          </w:p>
        </w:tc>
        <w:tc>
          <w:tcPr>
            <w:tcW w:type="dxa" w:w="32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100 L/h</w:t>
            </w:r>
          </w:p>
        </w:tc>
        <w:tc>
          <w:tcPr>
            <w:tcW w:type="dxa" w:w="33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≈ 12,5 L/h</w:t>
            </w:r>
          </w:p>
        </w:tc>
      </w:tr>
    </w:tbl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Deux enseignements : le poids d'impulsion se choisit, il ne se subit pas — c'est un paramètre de commande, généralement sans surcoût ; et le moyennage nocturne récupère un ordre de grandeur de sensibilité, ce qui rend exploitable un poids grossier sur une arrivée générale de gros diamètre.</w:t>
      </w:r>
    </w:p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7.  Synthèse : ce que l'état de l'art fonde</w:t>
      </w:r>
    </w:p>
    <w:tbl>
      <w:tblPr>
        <w:tblW w:type="dxa" w:w="9746"/>
        <w:tblBorders>
          <w:top w:val="single" w:color="C3CED4" w:sz="2"/>
          <w:left w:val="none"/>
          <w:bottom w:val="single" w:color="C3CED4" w:sz="2"/>
          <w:right w:val="none"/>
          <w:insideH w:val="single" w:color="D9E1E5" w:sz="2"/>
          <w:insideV w:val="none"/>
        </w:tblBorders>
      </w:tblPr>
      <w:tblGrid>
        <w:gridCol w:w="2700"/>
        <w:gridCol w:w="2600"/>
        <w:gridCol w:w="4446"/>
      </w:tblGrid>
      <w:tr>
        <w:trPr>
          <w:tblHeader/>
        </w:trPr>
        <w:tc>
          <w:tcPr>
            <w:tcW w:type="dxa" w:w="27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2600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Choix</w:t>
            </w:r>
          </w:p>
        </w:tc>
        <w:tc>
          <w:tcPr>
            <w:tcW w:type="dxa" w:w="4446"/>
            <w:shd w:fill="0B5563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Justification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Transmission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LoRaWAN privé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Passerelles déjà présentes, pas d'abonnement, couverture améliorable, données internes (§ 3)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Point de mesure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Compteur à impulsions + nœud séparé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L'électronique reste hors de la tuyauterie : remplaçable sans vidange du réseau (§ 2.2)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Serveur de réseau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ChirpStack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Données internes, paramétrage inclus (§ 5)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Périodicité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Horaire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Compatible du temps d'antenne, et nécessaire au minimum nocturne (§ 4.1, § 6.2)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Format de trame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Binaire, index cumulatif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Temps d'antenne limité ; l'index absolu rend la perte d'un message sans conséquence (§ 4.1)</w:t>
            </w:r>
          </w:p>
        </w:tc>
      </w:tr>
      <w:tr>
        <w:tc>
          <w:tcPr>
            <w:tcW w:type="dxa" w:w="27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Détection</w:t>
            </w:r>
          </w:p>
        </w:tc>
        <w:tc>
          <w:tcPr>
            <w:tcW w:type="dxa" w:w="2600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Minimum nocturne sur le résidu</w:t>
            </w:r>
          </w:p>
        </w:tc>
        <w:tc>
          <w:tcPr>
            <w:tcW w:type="dxa" w:w="4446"/>
            <w:shd w:fill="EDF2F4" w:val="clear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Seule méthode restant sensible malgré l'agrégation des zones (§ 6.2)</w:t>
            </w:r>
          </w:p>
        </w:tc>
      </w:tr>
      <w:tr>
        <w:tc>
          <w:tcPr>
            <w:tcW w:type="dxa" w:w="27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/>
                <w:bCs/>
                <w:color w:val="1F2933"/>
                <w:sz w:val="17"/>
                <w:szCs w:val="17"/>
              </w:rPr>
              <w:t xml:space="preserve">Choix des compteurs</w:t>
            </w:r>
          </w:p>
        </w:tc>
        <w:tc>
          <w:tcPr>
            <w:tcW w:type="dxa" w:w="2600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Sortie impulsion, R élevé, poids d'impulsion fin</w:t>
            </w:r>
          </w:p>
        </w:tc>
        <w:tc>
          <w:tcPr>
            <w:tcW w:type="dxa" w:w="4446"/>
            <w:tcMar>
              <w:top w:type="dxa" w:w="55"/>
              <w:left w:type="dxa" w:w="90"/>
              <w:bottom w:type="dxa" w:w="55"/>
              <w:right w:type="dxa" w:w="90"/>
            </w:tcMar>
          </w:tcPr>
          <w:p>
            <w:pPr>
              <w:spacing w:after="0" w:line="235"/>
            </w:pPr>
            <w:r>
              <w:rPr>
                <w:rFonts w:ascii="Calibri" w:cs="Calibri" w:eastAsia="Calibri" w:hAnsi="Calibri"/>
                <w:b w:val="false"/>
                <w:bCs w:val="false"/>
                <w:color w:val="1F2933"/>
                <w:sz w:val="17"/>
                <w:szCs w:val="17"/>
              </w:rPr>
              <w:t xml:space="preserve">Un compteur surdimensionné ne voit pas les fuites (§ 2.1, § 6.3)</w:t>
            </w:r>
          </w:p>
        </w:tc>
      </w:tr>
    </w:tbl>
    <w:p>
      <w:pPr>
        <w:pBdr>
          <w:bottom w:val="single" w:color="C3CED4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0B5563"/>
          <w:sz w:val="22"/>
          <w:szCs w:val="22"/>
        </w:rPr>
        <w:t xml:space="preserve">8.  Références</w:t>
      </w:r>
    </w:p>
    <w:p>
      <w:pPr>
        <w:spacing w:after="90" w:line="250"/>
      </w:pPr>
      <w:r>
        <w:rPr>
          <w:rFonts w:ascii="Calibri" w:cs="Calibri" w:eastAsia="Calibri" w:hAnsi="Calibri"/>
          <w:color w:val="1F2933"/>
          <w:sz w:val="18"/>
          <w:szCs w:val="18"/>
        </w:rPr>
        <w:t xml:space="preserve">Références recherchées et corroborées lors de la rédaction. Les documents normatifs payants n'ont pas été ouverts : vérifier la version en vigueur avant citation au rapport final.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OIML R 49-1,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Compteurs d'eau destinés au mesurage de l'eau potable froide et de l'eau chaude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6epbksvkzcyihn6jfed8v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2024 (EN)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· </w:t>
      </w:r>
      <w:hyperlink w:history="1" r:id="rIdf3y1omc5yefmwm0ny9myk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2013 (FR)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. À recouper avec EN ISO 4064.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[2]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Directive 2014/32/UE (MID), instruments de mesure, annexe MI-001 — </w:t>
      </w:r>
      <w:hyperlink w:history="1" r:id="rId0otf-gsoq7ioc6wfzdjwg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EUR-Lex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[3]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EN 13757-4,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communication radio pour compteurs (wireless M-Bus)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zhfowocwwsvajgomgu2_k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édition 2025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[4]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ETSI EN 300 220, dispositifs à courte portée sous 1 GHz. Application pratique : </w:t>
      </w:r>
      <w:hyperlink w:history="1" r:id="rIdvnqvrjsqdqud_u6ng2knj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The Things Network — Duty Cycle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[5]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LoRa Alliance,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LoRaWAN Regional Parameters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(EU863-870) — </w:t>
      </w:r>
      <w:hyperlink w:history="1" r:id="rIdaz4spi7bixwar9av3hzme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RP002-1.0.3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[6]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Semtech, </w:t>
      </w:r>
      <w:hyperlink w:history="1" r:id="rIdik6k0n1eteinass9t3nkl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FAQ LoRa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— sensibilité et SNR de démodulation par facteur d'étalement.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[7] 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LPWAN based IoT Architecture for Distributed Energy Monitoring in Deep Indoor Environments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7wjnqkxoyi2cn5xrkljuy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arXiv 2512.00998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. Atténuation ≈ 10 dB par plancher, ≈ 55 dB vers le sous-sol. </w:t>
      </w: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La référence la plus directement utilisable pour le livrable T3.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[8]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Recommandation ITU-R P.1238-9 (06/2017),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propagation pour la planification des systèmes radio en intérieur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 — </w:t>
      </w:r>
      <w:hyperlink w:history="1" r:id="rIdsgn-xdasync4qbhohcf2m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PDF</w:t>
        </w:r>
      </w:hyperlink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[9]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ChirpStack — </w:t>
      </w:r>
      <w:hyperlink w:history="1" r:id="rIdjgrpcsiwq2rzbn9-rjam7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documentation officielle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 : architecture, intégration MQTT, codecs de payload.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[10]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IWA Publishing, </w:t>
      </w:r>
      <w:hyperlink w:history="1" r:id="rIdohymcdp5d-9ym309jzgud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Leakage estimation based on water balance, minimum night flow and component analysis methods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Water Practice &amp; Technology</w:t>
      </w:r>
    </w:p>
    <w:p>
      <w:pPr>
        <w:spacing w:after="75" w:line="235"/>
        <w:ind w:left="300" w:hanging="300"/>
      </w:pP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[11]  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IWA Publishing, </w:t>
      </w:r>
      <w:hyperlink w:history="1" r:id="rIdii-p-upxzrxu9ffylo5nt">
        <w:r>
          <w:rPr>
            <w:rFonts w:ascii="Calibri" w:cs="Calibri" w:eastAsia="Calibri" w:hAnsi="Calibri"/>
            <w:color w:val="0B5563"/>
            <w:sz w:val="17"/>
            <w:szCs w:val="17"/>
            <w:u w:val="single"/>
          </w:rPr>
          <w:t xml:space="preserve">Leakage assessment of water supply networks in a university based on WB-Easy Calc and night minimum flow</w:t>
        </w:r>
      </w:hyperlink>
      <w:r>
        <w:rPr>
          <w:rFonts w:ascii="Calibri" w:cs="Calibri" w:eastAsia="Calibri" w:hAnsi="Calibri"/>
          <w:color w:val="1F2933"/>
          <w:sz w:val="18"/>
          <w:szCs w:val="18"/>
        </w:rPr>
        <w:t xml:space="preserve">, </w:t>
      </w:r>
      <w:r>
        <w:rPr>
          <w:rFonts w:ascii="Calibri" w:cs="Calibri" w:eastAsia="Calibri" w:hAnsi="Calibri"/>
          <w:i/>
          <w:iCs/>
          <w:color w:val="1F2933"/>
          <w:sz w:val="18"/>
          <w:szCs w:val="18"/>
        </w:rPr>
        <w:t xml:space="preserve">Water Supply</w:t>
      </w:r>
      <w:r>
        <w:rPr>
          <w:rFonts w:ascii="Calibri" w:cs="Calibri" w:eastAsia="Calibri" w:hAnsi="Calibri"/>
          <w:color w:val="1F2933"/>
          <w:sz w:val="18"/>
          <w:szCs w:val="18"/>
        </w:rPr>
        <w:t xml:space="preserve">. </w:t>
      </w:r>
      <w:r>
        <w:rPr>
          <w:rFonts w:ascii="Calibri" w:cs="Calibri" w:eastAsia="Calibri" w:hAnsi="Calibri"/>
          <w:b/>
          <w:bCs/>
          <w:color w:val="1F2933"/>
          <w:sz w:val="18"/>
          <w:szCs w:val="18"/>
        </w:rPr>
        <w:t xml:space="preserve">Étude de cas sur un campus universitaire — le retour d'expérience le plus proche du projet.</w:t>
      </w:r>
    </w:p>
    <w:sectPr>
      <w:pgSz w:w="11906" w:h="16838" w:orient="portrait"/>
      <w:pgMar w:top="1008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epbksvkzcyihn6jfed8v" Type="http://schemas.openxmlformats.org/officeDocument/2006/relationships/hyperlink" Target="https://www.oiml.org/en/files/pdf_r/r049-1-e24.pdf" TargetMode="External"/><Relationship Id="rIdf3y1omc5yefmwm0ny9myk" Type="http://schemas.openxmlformats.org/officeDocument/2006/relationships/hyperlink" Target="https://www.oiml.org/fr/files/pdf_r/r049-1-f13.pdf" TargetMode="External"/><Relationship Id="rId0otf-gsoq7ioc6wfzdjwg" Type="http://schemas.openxmlformats.org/officeDocument/2006/relationships/hyperlink" Target="https://eur-lex.europa.eu/eli/dir/2014/32/oj" TargetMode="External"/><Relationship Id="rIdzhfowocwwsvajgomgu2_k" Type="http://schemas.openxmlformats.org/officeDocument/2006/relationships/hyperlink" Target="https://standards.iteh.ai/catalog/standards/cen/b0f5d14e-42a8-4a53-945a-06fc2a3dd0f8/en-13757-4-2025" TargetMode="External"/><Relationship Id="rIdvnqvrjsqdqud_u6ng2knj" Type="http://schemas.openxmlformats.org/officeDocument/2006/relationships/hyperlink" Target="https://www.thethingsnetwork.org/docs/lorawan/duty-cycle/" TargetMode="External"/><Relationship Id="rIdaz4spi7bixwar9av3hzme" Type="http://schemas.openxmlformats.org/officeDocument/2006/relationships/hyperlink" Target="https://lora-alliance.org/wp-content/uploads/2021/05/RP002-1.0.3-FINAL-1.pdf" TargetMode="External"/><Relationship Id="rIdik6k0n1eteinass9t3nkl" Type="http://schemas.openxmlformats.org/officeDocument/2006/relationships/hyperlink" Target="https://www.semtech.com/design-support/faq/faq-lora" TargetMode="External"/><Relationship Id="rId7wjnqkxoyi2cn5xrkljuy" Type="http://schemas.openxmlformats.org/officeDocument/2006/relationships/hyperlink" Target="https://arxiv.org/pdf/2512.00998" TargetMode="External"/><Relationship Id="rIdsgn-xdasync4qbhohcf2m" Type="http://schemas.openxmlformats.org/officeDocument/2006/relationships/hyperlink" Target="https://www.itu.int/dms_pubrec/itu-r/rec/p/R-REC-P.1238-9-201706-I!!PDF-E.pdf" TargetMode="External"/><Relationship Id="rIdjgrpcsiwq2rzbn9-rjam7" Type="http://schemas.openxmlformats.org/officeDocument/2006/relationships/hyperlink" Target="https://www.chirpstack.io/" TargetMode="External"/><Relationship Id="rIdohymcdp5d-9ym309jzgud" Type="http://schemas.openxmlformats.org/officeDocument/2006/relationships/hyperlink" Target="https://iwaponline.com/wpt/article/13/1/96/38686/Leakage-estimation-in-developing-country-water" TargetMode="External"/><Relationship Id="rIdii-p-upxzrxu9ffylo5nt" Type="http://schemas.openxmlformats.org/officeDocument/2006/relationships/hyperlink" Target="https://iwaponline.com/ws/article/24/8/2781/103525/Leakage-assessment-of-water-supply-networks-in-a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2026-09-17T08:05:51.144Z</dcterms:created>
  <dcterms:modified xsi:type="dcterms:W3CDTF">2026-09-17T08:05:51.155Z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