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0B5563"/>
          <w:sz w:val="34"/>
          <w:szCs w:val="34"/>
        </w:rPr>
        <w:t xml:space="preserve">État de l'art</w:t>
      </w:r>
    </w:p>
    <w:p>
      <w:pPr>
        <w:spacing w:after="60"/>
      </w:pPr>
      <w:r>
        <w:rPr>
          <w:rFonts w:ascii="Calibri" w:cs="Calibri" w:eastAsia="Calibri" w:hAnsi="Calibri"/>
          <w:color w:val="5B6770"/>
          <w:sz w:val="22"/>
          <w:szCs w:val="22"/>
        </w:rPr>
        <w:t xml:space="preserve">Suivi de la consommation d'eau à l'ECAM par réseau LoRaWAN</w:t>
      </w:r>
    </w:p>
    <w:p>
      <w:pPr>
        <w:pBdr>
          <w:bottom w:val="single" w:color="0B5563" w:sz="12" w:space="6"/>
        </w:pBdr>
        <w:spacing w:after="170"/>
      </w:pPr>
      <w:r>
        <w:rPr>
          <w:rFonts w:ascii="Calibri" w:cs="Calibri" w:eastAsia="Calibri" w:hAnsi="Calibri"/>
          <w:color w:val="5B6770"/>
          <w:sz w:val="15"/>
          <w:szCs w:val="15"/>
        </w:rPr>
        <w:t xml:space="preserve">PRI 2026-2027  ·  Projet collaboratif DAISI  ·  Livrable T1  ·  Paul Thiboult et Lilian Grot</w:t>
      </w:r>
    </w:p>
    <w:p>
      <w:pPr>
        <w:pBdr>
          <w:bottom w:val="single" w:color="C3CED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0B5563"/>
          <w:sz w:val="22"/>
          <w:szCs w:val="22"/>
        </w:rPr>
        <w:t xml:space="preserve">1.  Objet</w:t>
      </w:r>
    </w:p>
    <w:p>
      <w:pPr>
        <w:spacing w:after="90" w:line="250"/>
      </w:pPr>
      <w:r>
        <w:rPr>
          <w:rFonts w:ascii="Calibri" w:cs="Calibri" w:eastAsia="Calibri" w:hAnsi="Calibri"/>
          <w:color w:val="1F2933"/>
          <w:sz w:val="18"/>
          <w:szCs w:val="18"/>
        </w:rPr>
        <w:t xml:space="preserve">Ce document recense les technologies disponibles pour le comptage et la télérelève de l'eau, et justifie les choix retenus pour le projet. Il ne vise pas l'exhaustivité : chaque section retient ce qui conditionne une décision.</w:t>
      </w:r>
    </w:p>
    <w:p>
      <w:pPr>
        <w:pBdr>
          <w:bottom w:val="single" w:color="C3CED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0B5563"/>
          <w:sz w:val="22"/>
          <w:szCs w:val="22"/>
        </w:rPr>
        <w:t xml:space="preserve">2.  Mesurer l'eau : ce qui conditionne la détection de fuite</w:t>
      </w:r>
    </w:p>
    <w:p>
      <w:pPr>
        <w:spacing w:after="90" w:line="250"/>
      </w:pPr>
      <w:r>
        <w:rPr>
          <w:rFonts w:ascii="Calibri" w:cs="Calibri" w:eastAsia="Calibri" w:hAnsi="Calibri"/>
          <w:color w:val="1F2933"/>
          <w:sz w:val="18"/>
          <w:szCs w:val="18"/>
        </w:rPr>
        <w:t xml:space="preserve">Un établissement ne dispose en général que d'un point de mesure, le compteur du distributeur, relevé à la période de facturation. Le sous-comptage répartit la consommation par zone ; détecter une fuite exige en outre un relevé fréquent, au pas horaire ou mieux.</w:t>
      </w:r>
    </w:p>
    <w:p>
      <w:pPr>
        <w:spacing w:after="90" w:line="250"/>
      </w:pPr>
      <w:r>
        <w:rPr>
          <w:rFonts w:ascii="Calibri" w:cs="Calibri" w:eastAsia="Calibri" w:hAnsi="Calibri"/>
          <w:color w:val="1F2933"/>
          <w:sz w:val="18"/>
          <w:szCs w:val="18"/>
        </w:rPr>
        <w:t xml:space="preserve">Une fuite de bâtiment — typiquement une chasse d'eau qui coule — est invisible à l'usage mais possède deux propriétés qui la rendent détectable par la mesure : elle est continue, y compris la nuit, et stable, donc elle décale le niveau de base sans déformer le profil de consommation.</w:t>
      </w:r>
    </w:p>
    <w:p>
      <w:pPr>
        <w:spacing w:after="70" w:before="170"/>
      </w:pP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2.1  La classe métrologique</w:t>
      </w:r>
    </w:p>
    <w:p>
      <w:pPr>
        <w:spacing w:after="90" w:line="250"/>
      </w:pPr>
      <w:r>
        <w:rPr>
          <w:rFonts w:ascii="Calibri" w:cs="Calibri" w:eastAsia="Calibri" w:hAnsi="Calibri"/>
          <w:color w:val="1F2933"/>
          <w:sz w:val="18"/>
          <w:szCs w:val="18"/>
        </w:rPr>
        <w:t xml:space="preserve">Un compteur n'a pas une précision uniforme sur toute sa plage. Il est caractérisé par le rapport R = Q3/Q1, normalisé par EN ISO 4064 et OIML R49 [1] et repris par la directive MID [2]. Le rapport R se choisit dans la série normalisée 40, 50, 63, 80, 100, 125, 160, 200, 250, 315, 400, 500, 630, 800, 1000 ; R160 correspond à l'ancienne classe C.</w:t>
      </w:r>
    </w:p>
    <w:tbl>
      <w:tblPr>
        <w:tblW w:type="dxa" w:w="9746"/>
        <w:tblBorders>
          <w:top w:val="single" w:color="C3CED4" w:sz="2"/>
          <w:left w:val="none"/>
          <w:bottom w:val="single" w:color="C3CED4" w:sz="2"/>
          <w:right w:val="none"/>
          <w:insideH w:val="single" w:color="D9E1E5" w:sz="2"/>
          <w:insideV w:val="none"/>
        </w:tblBorders>
      </w:tblPr>
      <w:tblGrid>
        <w:gridCol w:w="1500"/>
        <w:gridCol w:w="4200"/>
        <w:gridCol w:w="4046"/>
      </w:tblGrid>
      <w:tr>
        <w:trPr>
          <w:tblHeader/>
        </w:trPr>
        <w:tc>
          <w:tcPr>
            <w:tcW w:type="dxa" w:w="1500"/>
            <w:shd w:fill="0B556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Débit</w:t>
            </w:r>
          </w:p>
        </w:tc>
        <w:tc>
          <w:tcPr>
            <w:tcW w:type="dxa" w:w="4200"/>
            <w:shd w:fill="0B556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Définition</w:t>
            </w:r>
          </w:p>
        </w:tc>
        <w:tc>
          <w:tcPr>
            <w:tcW w:type="dxa" w:w="4046"/>
            <w:shd w:fill="0B556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Relation</w:t>
            </w:r>
          </w:p>
        </w:tc>
      </w:tr>
      <w:tr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Q1</w:t>
            </w:r>
          </w:p>
        </w:tc>
        <w:tc>
          <w:tcPr>
            <w:tcW w:type="dxa" w:w="4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Débit minimal garanti</w:t>
            </w:r>
          </w:p>
        </w:tc>
        <w:tc>
          <w:tcPr>
            <w:tcW w:type="dxa" w:w="404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Q3 / R</w:t>
            </w:r>
          </w:p>
        </w:tc>
      </w:tr>
      <w:tr>
        <w:tc>
          <w:tcPr>
            <w:tcW w:type="dxa" w:w="1500"/>
            <w:shd w:fill="EDF2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Q2</w:t>
            </w:r>
          </w:p>
        </w:tc>
        <w:tc>
          <w:tcPr>
            <w:tcW w:type="dxa" w:w="4200"/>
            <w:shd w:fill="EDF2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Débit de transition</w:t>
            </w:r>
          </w:p>
        </w:tc>
        <w:tc>
          <w:tcPr>
            <w:tcW w:type="dxa" w:w="4046"/>
            <w:shd w:fill="EDF2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1,6 × Q1</w:t>
            </w:r>
          </w:p>
        </w:tc>
      </w:tr>
      <w:tr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Q3</w:t>
            </w:r>
          </w:p>
        </w:tc>
        <w:tc>
          <w:tcPr>
            <w:tcW w:type="dxa" w:w="4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Débit permanent</w:t>
            </w:r>
          </w:p>
        </w:tc>
        <w:tc>
          <w:tcPr>
            <w:tcW w:type="dxa" w:w="404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Valeur nominale du compteur</w:t>
            </w:r>
          </w:p>
        </w:tc>
      </w:tr>
      <w:tr>
        <w:tc>
          <w:tcPr>
            <w:tcW w:type="dxa" w:w="1500"/>
            <w:shd w:fill="EDF2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Q4</w:t>
            </w:r>
          </w:p>
        </w:tc>
        <w:tc>
          <w:tcPr>
            <w:tcW w:type="dxa" w:w="4200"/>
            <w:shd w:fill="EDF2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Débit de surcharge</w:t>
            </w:r>
          </w:p>
        </w:tc>
        <w:tc>
          <w:tcPr>
            <w:tcW w:type="dxa" w:w="4046"/>
            <w:shd w:fill="EDF2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1,25 × Q3</w:t>
            </w:r>
          </w:p>
        </w:tc>
      </w:tr>
    </w:tbl>
    <w:p>
      <w:pPr>
        <w:spacing w:after="90" w:line="250"/>
      </w:pPr>
      <w:r>
        <w:rPr>
          <w:rFonts w:ascii="Calibri" w:cs="Calibri" w:eastAsia="Calibri" w:hAnsi="Calibri"/>
          <w:b/>
          <w:bCs/>
          <w:color w:val="1F2933"/>
          <w:sz w:val="18"/>
          <w:szCs w:val="18"/>
        </w:rPr>
        <w:t xml:space="preserve">Conséquence directe. 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Un compteur R160 de Q3 = 2 500 L/h a un Q1 de 15,6 L/h : en dessous, sa précision n'est plus garantie. Un compteur surdimensionné ou de faible rapport R ne « voit » pas les petits débits — une fuite peut rester sous son seuil de démarrage et n'être jamais comptée. Le dimensionnement se fait donc sur le débit réel attendu, non sur le diamètre de la canalisation.</w:t>
      </w:r>
    </w:p>
    <w:p>
      <w:pPr>
        <w:spacing w:after="70" w:before="170"/>
      </w:pP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2.2  Les interfaces de sortie</w:t>
      </w:r>
    </w:p>
    <w:tbl>
      <w:tblPr>
        <w:tblW w:type="dxa" w:w="9746"/>
        <w:tblBorders>
          <w:top w:val="single" w:color="C3CED4" w:sz="2"/>
          <w:left w:val="none"/>
          <w:bottom w:val="single" w:color="C3CED4" w:sz="2"/>
          <w:right w:val="none"/>
          <w:insideH w:val="single" w:color="D9E1E5" w:sz="2"/>
          <w:insideV w:val="none"/>
        </w:tblBorders>
      </w:tblPr>
      <w:tblGrid>
        <w:gridCol w:w="2300"/>
        <w:gridCol w:w="4200"/>
        <w:gridCol w:w="3246"/>
      </w:tblGrid>
      <w:tr>
        <w:trPr>
          <w:tblHeader/>
        </w:trPr>
        <w:tc>
          <w:tcPr>
            <w:tcW w:type="dxa" w:w="2300"/>
            <w:shd w:fill="0B556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Sortie</w:t>
            </w:r>
          </w:p>
        </w:tc>
        <w:tc>
          <w:tcPr>
            <w:tcW w:type="dxa" w:w="4200"/>
            <w:shd w:fill="0B556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Principe</w:t>
            </w:r>
          </w:p>
        </w:tc>
        <w:tc>
          <w:tcPr>
            <w:tcW w:type="dxa" w:w="3246"/>
            <w:shd w:fill="0B556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Ce qu'elle permet</w:t>
            </w:r>
          </w:p>
        </w:tc>
      </w:tr>
      <w:tr>
        <w:tc>
          <w:tcPr>
            <w:tcW w:type="dxa" w:w="2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Aucune</w:t>
            </w:r>
          </w:p>
        </w:tc>
        <w:tc>
          <w:tcPr>
            <w:tcW w:type="dxa" w:w="4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Lecture visuelle du cadran</w:t>
            </w:r>
          </w:p>
        </w:tc>
        <w:tc>
          <w:tcPr>
            <w:tcW w:type="dxa" w:w="324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Rien d'automatique</w:t>
            </w:r>
          </w:p>
        </w:tc>
      </w:tr>
      <w:tr>
        <w:tc>
          <w:tcPr>
            <w:tcW w:type="dxa" w:w="2300"/>
            <w:shd w:fill="EDF2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Impulsion</w:t>
            </w:r>
          </w:p>
        </w:tc>
        <w:tc>
          <w:tcPr>
            <w:tcW w:type="dxa" w:w="4200"/>
            <w:shd w:fill="EDF2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Un aimant ferme un contact sec tous les P litres</w:t>
            </w:r>
          </w:p>
        </w:tc>
        <w:tc>
          <w:tcPr>
            <w:tcW w:type="dxa" w:w="3246"/>
            <w:shd w:fill="EDF2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Comptage par un équipement externe</w:t>
            </w:r>
          </w:p>
        </w:tc>
      </w:tr>
      <w:tr>
        <w:tc>
          <w:tcPr>
            <w:tcW w:type="dxa" w:w="2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Encodeur</w:t>
            </w:r>
          </w:p>
        </w:tc>
        <w:tc>
          <w:tcPr>
            <w:tcW w:type="dxa" w:w="4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Transmission de l'index absolu sur bus</w:t>
            </w:r>
          </w:p>
        </w:tc>
        <w:tc>
          <w:tcPr>
            <w:tcW w:type="dxa" w:w="324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Pas de perte au redémarrage</w:t>
            </w:r>
          </w:p>
        </w:tc>
      </w:tr>
      <w:tr>
        <w:tc>
          <w:tcPr>
            <w:tcW w:type="dxa" w:w="2300"/>
            <w:shd w:fill="EDF2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Radio intégrée</w:t>
            </w:r>
          </w:p>
        </w:tc>
        <w:tc>
          <w:tcPr>
            <w:tcW w:type="dxa" w:w="4200"/>
            <w:shd w:fill="EDF2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Émetteur dans le compteur</w:t>
            </w:r>
          </w:p>
        </w:tc>
        <w:tc>
          <w:tcPr>
            <w:tcW w:type="dxa" w:w="3246"/>
            <w:shd w:fill="EDF2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Aucun câblage</w:t>
            </w:r>
          </w:p>
        </w:tc>
      </w:tr>
    </w:tbl>
    <w:p>
      <w:pPr>
        <w:spacing w:after="90" w:line="250"/>
      </w:pPr>
      <w:r>
        <w:rPr>
          <w:rFonts w:ascii="Calibri" w:cs="Calibri" w:eastAsia="Calibri" w:hAnsi="Calibri"/>
          <w:color w:val="1F2933"/>
          <w:sz w:val="18"/>
          <w:szCs w:val="18"/>
        </w:rPr>
        <w:t xml:space="preserve">La sortie impulsion est le dénominateur commun de l'industrie : deux fils, aucune électronique, lisible par n'importe quel équipement. C'est une option de commande et non un équipement standard. Le poids d'impulsion va de 1 à 100 litres selon le calibre, et détermine la résolution de la mesure (§ 6.3). Limite à connaître : l'impulsion transmet un incrément, non un index absolu ; une coupure d'alimentation du compteur externe impose un recalage.</w:t>
      </w:r>
    </w:p>
    <w:p>
      <w:pPr>
        <w:pBdr>
          <w:bottom w:val="single" w:color="C3CED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0B5563"/>
          <w:sz w:val="22"/>
          <w:szCs w:val="22"/>
        </w:rPr>
        <w:t xml:space="preserve">3.  Transmettre : panorama des technologies</w:t>
      </w:r>
    </w:p>
    <w:tbl>
      <w:tblPr>
        <w:tblW w:type="dxa" w:w="9746"/>
        <w:tblBorders>
          <w:top w:val="single" w:color="C3CED4" w:sz="2"/>
          <w:left w:val="none"/>
          <w:bottom w:val="single" w:color="C3CED4" w:sz="2"/>
          <w:right w:val="none"/>
          <w:insideH w:val="single" w:color="D9E1E5" w:sz="2"/>
          <w:insideV w:val="none"/>
        </w:tblBorders>
      </w:tblPr>
      <w:tblGrid>
        <w:gridCol w:w="2100"/>
        <w:gridCol w:w="2000"/>
        <w:gridCol w:w="1900"/>
        <w:gridCol w:w="3746"/>
      </w:tblGrid>
      <w:tr>
        <w:trPr>
          <w:tblHeader/>
        </w:trPr>
        <w:tc>
          <w:tcPr>
            <w:tcW w:type="dxa" w:w="2100"/>
            <w:shd w:fill="0B556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Famille</w:t>
            </w:r>
          </w:p>
        </w:tc>
        <w:tc>
          <w:tcPr>
            <w:tcW w:type="dxa" w:w="2000"/>
            <w:shd w:fill="0B556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Portée</w:t>
            </w:r>
          </w:p>
        </w:tc>
        <w:tc>
          <w:tcPr>
            <w:tcW w:type="dxa" w:w="1900"/>
            <w:shd w:fill="0B556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Alimentation</w:t>
            </w:r>
          </w:p>
        </w:tc>
        <w:tc>
          <w:tcPr>
            <w:tcW w:type="dxa" w:w="3746"/>
            <w:shd w:fill="0B556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Infrastructure</w:t>
            </w:r>
          </w:p>
        </w:tc>
      </w:tr>
      <w:tr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Filaire (M-Bus, Modbus)</w:t>
            </w:r>
          </w:p>
        </w:tc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Longueur du câble</w:t>
            </w:r>
          </w:p>
        </w:tc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Bus</w:t>
            </w:r>
          </w:p>
        </w:tc>
        <w:tc>
          <w:tcPr>
            <w:tcW w:type="dxa" w:w="374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Câblage à tirer</w:t>
            </w:r>
          </w:p>
        </w:tc>
      </w:tr>
      <w:tr>
        <w:tc>
          <w:tcPr>
            <w:tcW w:type="dxa" w:w="2100"/>
            <w:shd w:fill="EDF2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Radio courte portée (Zigbee, WiFi)</w:t>
            </w:r>
          </w:p>
        </w:tc>
        <w:tc>
          <w:tcPr>
            <w:tcW w:type="dxa" w:w="2000"/>
            <w:shd w:fill="EDF2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Dizaines de mètres</w:t>
            </w:r>
          </w:p>
        </w:tc>
        <w:tc>
          <w:tcPr>
            <w:tcW w:type="dxa" w:w="1900"/>
            <w:shd w:fill="EDF2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Pile courte ou secteur</w:t>
            </w:r>
          </w:p>
        </w:tc>
        <w:tc>
          <w:tcPr>
            <w:tcW w:type="dxa" w:w="3746"/>
            <w:shd w:fill="EDF2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Répéteurs</w:t>
            </w:r>
          </w:p>
        </w:tc>
      </w:tr>
      <w:tr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wM-Bus</w:t>
            </w:r>
          </w:p>
        </w:tc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Centaines de mètres</w:t>
            </w:r>
          </w:p>
        </w:tc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Pile, années</w:t>
            </w:r>
          </w:p>
        </w:tc>
        <w:tc>
          <w:tcPr>
            <w:tcW w:type="dxa" w:w="374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Concentrateurs</w:t>
            </w:r>
          </w:p>
        </w:tc>
      </w:tr>
      <w:tr>
        <w:tc>
          <w:tcPr>
            <w:tcW w:type="dxa" w:w="2100"/>
            <w:shd w:fill="FDF3E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LoRaWAN privé</w:t>
            </w:r>
          </w:p>
        </w:tc>
        <w:tc>
          <w:tcPr>
            <w:tcW w:type="dxa" w:w="2000"/>
            <w:shd w:fill="FDF3E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Kilomètres</w:t>
            </w:r>
          </w:p>
        </w:tc>
        <w:tc>
          <w:tcPr>
            <w:tcW w:type="dxa" w:w="1900"/>
            <w:shd w:fill="FDF3E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Pile, années</w:t>
            </w:r>
          </w:p>
        </w:tc>
        <w:tc>
          <w:tcPr>
            <w:tcW w:type="dxa" w:w="3746"/>
            <w:shd w:fill="FDF3E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Passerelles à installer</w:t>
            </w:r>
          </w:p>
        </w:tc>
      </w:tr>
      <w:tr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LPWAN opéré (NB-IoT, LTE-M)</w:t>
            </w:r>
          </w:p>
        </w:tc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Couverture opérateur</w:t>
            </w:r>
          </w:p>
        </w:tc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Pile, années</w:t>
            </w:r>
          </w:p>
        </w:tc>
        <w:tc>
          <w:tcPr>
            <w:tcW w:type="dxa" w:w="374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Abonnement</w:t>
            </w:r>
          </w:p>
        </w:tc>
      </w:tr>
    </w:tbl>
    <w:p>
      <w:pPr>
        <w:spacing w:after="90" w:line="250"/>
      </w:pPr>
      <w:r>
        <w:rPr>
          <w:rFonts w:ascii="Calibri" w:cs="Calibri" w:eastAsia="Calibri" w:hAnsi="Calibri"/>
          <w:color w:val="1F2933"/>
          <w:sz w:val="18"/>
          <w:szCs w:val="18"/>
        </w:rPr>
        <w:t xml:space="preserve">Le filaire est irréprochable mais impose un génie civil supérieur au coût de la mesure. La radio courte portée n'atteint pas des compteurs répartis en sous-sol. Le LPWAN opéré supprime l'infrastructure mais introduit un abonnement par appareil et une dépendance à une couverture que l'on ne peut pas améliorer soi-même — précisément là où elle est la plus incertaine.</w:t>
      </w:r>
    </w:p>
    <w:p>
      <w:pPr>
        <w:spacing w:after="90" w:line="250"/>
      </w:pPr>
      <w:r>
        <w:rPr>
          <w:rFonts w:ascii="Calibri" w:cs="Calibri" w:eastAsia="Calibri" w:hAnsi="Calibri"/>
          <w:b/>
          <w:bCs/>
          <w:color w:val="1F2933"/>
          <w:sz w:val="18"/>
          <w:szCs w:val="18"/>
        </w:rPr>
        <w:t xml:space="preserve">Le piège wM-Bus. 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Normalisé par EN 13757-4 [3], c'est le standard européen de la télérelève de fluides, et il émet dans la même bande 868 MHz que LoRaWAN. Un compteur annoncé « communicant, 868 MHz » est très souvent un compteur wM-Bus — non interopérable avec une passerelle LoRaWAN. Point de vigilance à l'achat.</w:t>
      </w:r>
    </w:p>
    <w:p>
      <w:pPr>
        <w:spacing w:after="90" w:line="250"/>
      </w:pPr>
      <w:r>
        <w:rPr>
          <w:rFonts w:ascii="Calibri" w:cs="Calibri" w:eastAsia="Calibri" w:hAnsi="Calibri"/>
          <w:b/>
          <w:bCs/>
          <w:color w:val="1F2933"/>
          <w:sz w:val="18"/>
          <w:szCs w:val="18"/>
        </w:rPr>
        <w:t xml:space="preserve">Pourquoi LoRaWAN ici. 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L'ECAM dispose déjà de trois passerelles, ce qui réduit le coût marginal d'un point de mesure à celui du nœud. Le réseau est privé : aucun abonnement, couverture améliorable en ajoutant une passerelle, et les données restent dans l'établissement. Le prix à payer est un débit très faible et un temps d'antenne réglementé.</w:t>
      </w:r>
    </w:p>
    <w:p>
      <w:pPr>
        <w:pBdr>
          <w:bottom w:val="single" w:color="C3CED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0B5563"/>
          <w:sz w:val="22"/>
          <w:szCs w:val="22"/>
        </w:rPr>
        <w:t xml:space="preserve">4.  LoRaWAN : ce qui contraint le dimensionnement</w:t>
      </w:r>
    </w:p>
    <w:p>
      <w:pPr>
        <w:spacing w:after="90" w:line="250"/>
      </w:pPr>
      <w:r>
        <w:rPr>
          <w:rFonts w:ascii="Calibri" w:cs="Calibri" w:eastAsia="Calibri" w:hAnsi="Calibri"/>
          <w:color w:val="1F2933"/>
          <w:sz w:val="18"/>
          <w:szCs w:val="18"/>
        </w:rPr>
        <w:t xml:space="preserve">Les passerelles ne sont pas adressées : un nœud émet, toutes celles à portée reçoivent, le serveur de réseau déduplique — d'où une redondance gratuite dès qu'un point est couvert par deux passerelles. Les compteurs sur pile relèvent de la Classe A, qui n'écoute qu'après avoir émis : un ordre de configuration n'est donc reçu qu'au cycle suivant.</w:t>
      </w:r>
    </w:p>
    <w:p>
      <w:pPr>
        <w:spacing w:after="70" w:before="170"/>
      </w:pP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4.1  Temps d'antenne et réglementation</w:t>
      </w:r>
    </w:p>
    <w:p>
      <w:pPr>
        <w:spacing w:after="90" w:line="250"/>
      </w:pPr>
      <w:r>
        <w:rPr>
          <w:rFonts w:ascii="Calibri" w:cs="Calibri" w:eastAsia="Calibri" w:hAnsi="Calibri"/>
          <w:color w:val="1F2933"/>
          <w:sz w:val="18"/>
          <w:szCs w:val="18"/>
        </w:rPr>
        <w:t xml:space="preserve">La bande est régie par ETSI EN 300 220 [4], qui impose un rapport cyclique par sous-bande et plafonne la puissance à 25 mW ERP, soit environ +16 dBm EIRP.</w:t>
      </w:r>
    </w:p>
    <w:tbl>
      <w:tblPr>
        <w:tblW w:type="dxa" w:w="9746"/>
        <w:tblBorders>
          <w:top w:val="single" w:color="C3CED4" w:sz="2"/>
          <w:left w:val="none"/>
          <w:bottom w:val="single" w:color="C3CED4" w:sz="2"/>
          <w:right w:val="none"/>
          <w:insideH w:val="single" w:color="D9E1E5" w:sz="2"/>
          <w:insideV w:val="none"/>
        </w:tblBorders>
      </w:tblPr>
      <w:tblGrid>
        <w:gridCol w:w="3000"/>
        <w:gridCol w:w="2200"/>
        <w:gridCol w:w="4546"/>
      </w:tblGrid>
      <w:tr>
        <w:trPr>
          <w:tblHeader/>
        </w:trPr>
        <w:tc>
          <w:tcPr>
            <w:tcW w:type="dxa" w:w="3000"/>
            <w:shd w:fill="0B556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Sous-bande</w:t>
            </w:r>
          </w:p>
        </w:tc>
        <w:tc>
          <w:tcPr>
            <w:tcW w:type="dxa" w:w="2200"/>
            <w:shd w:fill="0B556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Rapport cyclique</w:t>
            </w:r>
          </w:p>
        </w:tc>
        <w:tc>
          <w:tcPr>
            <w:tcW w:type="dxa" w:w="4546"/>
            <w:shd w:fill="0B556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Remarque</w:t>
            </w:r>
          </w:p>
        </w:tc>
      </w:tr>
      <w:tr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863 – 865 MHz</w:t>
            </w:r>
          </w:p>
        </w:tc>
        <w:tc>
          <w:tcPr>
            <w:tcW w:type="dxa" w:w="2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0,1 %</w:t>
            </w:r>
          </w:p>
        </w:tc>
        <w:tc>
          <w:tcPr>
            <w:tcW w:type="dxa" w:w="454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La plus contrainte</w:t>
            </w:r>
          </w:p>
        </w:tc>
      </w:tr>
      <w:tr>
        <w:tc>
          <w:tcPr>
            <w:tcW w:type="dxa" w:w="3000"/>
            <w:shd w:fill="EDF2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868,0 – 868,6 MHz</w:t>
            </w:r>
          </w:p>
        </w:tc>
        <w:tc>
          <w:tcPr>
            <w:tcW w:type="dxa" w:w="2200"/>
            <w:shd w:fill="EDF2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1 %</w:t>
            </w:r>
          </w:p>
        </w:tc>
        <w:tc>
          <w:tcPr>
            <w:tcW w:type="dxa" w:w="4546"/>
            <w:shd w:fill="EDF2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Canaux LoRaWAN obligatoires : 868,1 / 868,3 / 868,5</w:t>
            </w:r>
          </w:p>
        </w:tc>
      </w:tr>
      <w:tr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867,1 – 867,9 MHz</w:t>
            </w:r>
          </w:p>
        </w:tc>
        <w:tc>
          <w:tcPr>
            <w:tcW w:type="dxa" w:w="2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1 %</w:t>
            </w:r>
          </w:p>
        </w:tc>
        <w:tc>
          <w:tcPr>
            <w:tcW w:type="dxa" w:w="454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Cinq canaux additionnels</w:t>
            </w:r>
          </w:p>
        </w:tc>
      </w:tr>
    </w:tbl>
    <w:p>
      <w:pPr>
        <w:spacing w:after="90" w:line="250"/>
      </w:pPr>
      <w:r>
        <w:rPr>
          <w:rFonts w:ascii="Calibri" w:cs="Calibri" w:eastAsia="Calibri" w:hAnsi="Calibri"/>
          <w:color w:val="1F2933"/>
          <w:sz w:val="18"/>
          <w:szCs w:val="18"/>
        </w:rPr>
        <w:t xml:space="preserve">La charge utile applicative dépend du facteur d'étalement [5] : 51 octets de DR0 à DR2 (SF12 à SF10), 115 à DR3, 222 au-delà. Chaque incrément de SF double approximativement le temps d'antenne et améliore le bilan de liaison d'environ 3 dB. Un relevé horaire de quelques octets tient confortablement dans ces limites, y compris au pire cas SF12.</w:t>
      </w:r>
    </w:p>
    <w:p>
      <w:pPr>
        <w:spacing w:after="70" w:before="170"/>
      </w:pP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4.2  Bilan de liaison et propagation</w:t>
      </w:r>
    </w:p>
    <w:p>
      <w:pPr>
        <w:spacing w:after="90" w:line="250"/>
      </w:pPr>
      <w:r>
        <w:rPr>
          <w:rFonts w:ascii="Calibri" w:cs="Calibri" w:eastAsia="Calibri" w:hAnsi="Calibri"/>
          <w:color w:val="1F2933"/>
          <w:sz w:val="18"/>
          <w:szCs w:val="18"/>
        </w:rPr>
        <w:t xml:space="preserve">LoRa démodule sous le niveau de bruit, ce qu'aucune modulation classique ne permet : à SF12, la sensibilité atteint environ −137 dBm pour un SNR de −20 dB, contre −123 dBm et −7,5 dB à SF7 [6]. En limite de portée, c'est le SNR, plus que le RSSI, qui conditionne la réception.</w:t>
      </w:r>
    </w:p>
    <w:tbl>
      <w:tblPr>
        <w:tblW w:type="dxa" w:w="9746"/>
        <w:tblBorders>
          <w:top w:val="none"/>
          <w:left w:val="single" w:color="0B5563" w:sz="1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shd w:fill="EDF2F4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8"/>
                <w:szCs w:val="18"/>
              </w:rPr>
              <w:t xml:space="preserve">Le point dur du projet. </w:t>
            </w: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Le relevé a corrigé une hypothèse de départ : les compteurs de l'ECAM sont en sous-plafond et non en local enterré, situation nettement plus favorable. Le facteur dominant n'est donc pas le béton mais l'ossature métallique du faux plafond. L'ordre de grandeur reste éclairant : une campagne publiée rapporte environ 10 dB par plancher vers les étages, mais environ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18"/>
                <w:szCs w:val="18"/>
              </w:rPr>
              <w:t xml:space="preserve">55 dB pour atteindre un sous-sol</w:t>
            </w: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 [7] — un facteur cinq, qui montre qu'un bilan de liaison ne se transpose pas d'un emplacement à un autre et que la mesure sur site reste indispensable.</w:t>
            </w:r>
          </w:p>
        </w:tc>
      </w:tr>
    </w:tbl>
    <w:p>
      <w:pPr>
        <w:spacing w:after="90" w:line="250"/>
      </w:pPr>
      <w:r>
        <w:rPr>
          <w:rFonts w:ascii="Calibri" w:cs="Calibri" w:eastAsia="Calibri" w:hAnsi="Calibri"/>
          <w:color w:val="1F2933"/>
          <w:sz w:val="18"/>
          <w:szCs w:val="18"/>
        </w:rPr>
        <w:t xml:space="preserve"/>
      </w:r>
    </w:p>
    <w:p>
      <w:pPr>
        <w:spacing w:after="90" w:line="250"/>
      </w:pPr>
      <w:r>
        <w:rPr>
          <w:rFonts w:ascii="Calibri" w:cs="Calibri" w:eastAsia="Calibri" w:hAnsi="Calibri"/>
          <w:color w:val="1F2933"/>
          <w:sz w:val="18"/>
          <w:szCs w:val="18"/>
        </w:rPr>
        <w:t xml:space="preserve">Les modèles de propagation intérieure — ITU-R P.1238 [8], et les modèles multi-murs de type COST 231 qui ajoutent au modèle en espace libre une perte par paroi traversée — permettent d'estimer ces pertes, avec une incertitude importante en sous-sol. La valeur du livrable T3 réside dans l'écart mesuré entre prédiction et terrain.</w:t>
      </w:r>
    </w:p>
    <w:p>
      <w:pPr>
        <w:pBdr>
          <w:bottom w:val="single" w:color="C3CED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0B5563"/>
          <w:sz w:val="22"/>
          <w:szCs w:val="22"/>
        </w:rPr>
        <w:t xml:space="preserve">5.  Serveur de réseau</w:t>
      </w:r>
    </w:p>
    <w:p>
      <w:pPr>
        <w:spacing w:after="90" w:line="250"/>
      </w:pPr>
      <w:r>
        <w:rPr>
          <w:rFonts w:ascii="Calibri" w:cs="Calibri" w:eastAsia="Calibri" w:hAnsi="Calibri"/>
          <w:color w:val="1F2933"/>
          <w:sz w:val="18"/>
          <w:szCs w:val="18"/>
        </w:rPr>
        <w:t xml:space="preserve">Le serveur de réseau gère les adhésions, déduplique les messages, pilote l'adaptation de débit et expose les données à l'application.</w:t>
      </w:r>
    </w:p>
    <w:tbl>
      <w:tblPr>
        <w:tblW w:type="dxa" w:w="9746"/>
        <w:tblBorders>
          <w:top w:val="single" w:color="C3CED4" w:sz="2"/>
          <w:left w:val="none"/>
          <w:bottom w:val="single" w:color="C3CED4" w:sz="2"/>
          <w:right w:val="none"/>
          <w:insideH w:val="single" w:color="D9E1E5" w:sz="2"/>
          <w:insideV w:val="none"/>
        </w:tblBorders>
      </w:tblPr>
      <w:tblGrid>
        <w:gridCol w:w="2600"/>
        <w:gridCol w:w="3400"/>
        <w:gridCol w:w="3746"/>
      </w:tblGrid>
      <w:tr>
        <w:trPr>
          <w:tblHeader/>
        </w:trPr>
        <w:tc>
          <w:tcPr>
            <w:tcW w:type="dxa" w:w="2600"/>
            <w:shd w:fill="0B556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Solution</w:t>
            </w:r>
          </w:p>
        </w:tc>
        <w:tc>
          <w:tcPr>
            <w:tcW w:type="dxa" w:w="3400"/>
            <w:shd w:fill="0B556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Points forts</w:t>
            </w:r>
          </w:p>
        </w:tc>
        <w:tc>
          <w:tcPr>
            <w:tcW w:type="dxa" w:w="3746"/>
            <w:shd w:fill="0B556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Limites</w:t>
            </w:r>
          </w:p>
        </w:tc>
      </w:tr>
      <w:tr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ChirpStack</w:t>
            </w:r>
          </w:p>
        </w:tc>
        <w:tc>
          <w:tcPr>
            <w:tcW w:type="dxa" w:w="3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Libre, auto-hébergé, intégration MQTT native</w:t>
            </w:r>
          </w:p>
        </w:tc>
        <w:tc>
          <w:tcPr>
            <w:tcW w:type="dxa" w:w="374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Infrastructure à maintenir</w:t>
            </w:r>
          </w:p>
        </w:tc>
      </w:tr>
      <w:tr>
        <w:tc>
          <w:tcPr>
            <w:tcW w:type="dxa" w:w="2600"/>
            <w:shd w:fill="EDF2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The Things Stack</w:t>
            </w:r>
          </w:p>
        </w:tc>
        <w:tc>
          <w:tcPr>
            <w:tcW w:type="dxa" w:w="3400"/>
            <w:shd w:fill="EDF2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Mise en œuvre immédiate</w:t>
            </w:r>
          </w:p>
        </w:tc>
        <w:tc>
          <w:tcPr>
            <w:tcW w:type="dxa" w:w="3746"/>
            <w:shd w:fill="EDF2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Dépendance externe ; usage équitable sur l'offre publique</w:t>
            </w:r>
          </w:p>
        </w:tc>
      </w:tr>
      <w:tr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Offres opérées</w:t>
            </w:r>
          </w:p>
        </w:tc>
        <w:tc>
          <w:tcPr>
            <w:tcW w:type="dxa" w:w="3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Exploitation déléguée</w:t>
            </w:r>
          </w:p>
        </w:tc>
        <w:tc>
          <w:tcPr>
            <w:tcW w:type="dxa" w:w="374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Coût récurrent, données hors établissement</w:t>
            </w:r>
          </w:p>
        </w:tc>
      </w:tr>
    </w:tbl>
    <w:p>
      <w:pPr>
        <w:spacing w:after="90" w:line="250"/>
      </w:pPr>
      <w:r>
        <w:rPr>
          <w:rFonts w:ascii="Calibri" w:cs="Calibri" w:eastAsia="Calibri" w:hAnsi="Calibri"/>
          <w:color w:val="1F2933"/>
          <w:sz w:val="18"/>
          <w:szCs w:val="18"/>
        </w:rPr>
        <w:t xml:space="preserve">ChirpStack [9] est retenu : les données restent dans l'établissement, aucune contrainte d'usage équitable ne s'applique sur un réseau privé, et l'interface sert à la fois la visualisation et le paramétrage à distance des nœuds — ce qui évite de développer un outil d'administration.</w:t>
      </w:r>
    </w:p>
    <w:p>
      <w:pPr>
        <w:pBdr>
          <w:bottom w:val="single" w:color="C3CED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0B5563"/>
          <w:sz w:val="22"/>
          <w:szCs w:val="22"/>
        </w:rPr>
        <w:t xml:space="preserve">6.  Détecter les fuites</w:t>
      </w:r>
    </w:p>
    <w:p>
      <w:pPr>
        <w:spacing w:after="70" w:before="170"/>
      </w:pP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6.1  Le bilan hydraulique</w:t>
      </w:r>
    </w:p>
    <w:p>
      <w:pPr>
        <w:spacing w:after="90" w:line="250"/>
      </w:pPr>
      <w:r>
        <w:rPr>
          <w:rFonts w:ascii="Calibri" w:cs="Calibri" w:eastAsia="Calibri" w:hAnsi="Calibri"/>
          <w:color w:val="1F2933"/>
          <w:sz w:val="18"/>
          <w:szCs w:val="18"/>
        </w:rPr>
        <w:t xml:space="preserve">Le principe est comptable : ce qui entre doit se retrouver en sortie.</w:t>
      </w:r>
    </w:p>
    <w:tbl>
      <w:tblPr>
        <w:tblW w:type="dxa" w:w="9746"/>
        <w:tblBorders>
          <w:top w:val="none"/>
          <w:left w:val="single" w:color="0B5563" w:sz="1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shd w:fill="EDF2F4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B5563"/>
                <w:sz w:val="19"/>
                <w:szCs w:val="19"/>
              </w:rPr>
              <w:t xml:space="preserve">Résidu  =  Index général  −  Σ (sous-compteurs)</w:t>
            </w:r>
          </w:p>
        </w:tc>
      </w:tr>
    </w:tbl>
    <w:p>
      <w:pPr>
        <w:spacing w:after="90" w:line="250"/>
      </w:pPr>
      <w:r>
        <w:rPr>
          <w:rFonts w:ascii="Calibri" w:cs="Calibri" w:eastAsia="Calibri" w:hAnsi="Calibri"/>
          <w:color w:val="1F2933"/>
          <w:sz w:val="18"/>
          <w:szCs w:val="18"/>
        </w:rPr>
        <w:t xml:space="preserve"/>
      </w:r>
    </w:p>
    <w:p>
      <w:pPr>
        <w:spacing w:after="90" w:line="250"/>
      </w:pPr>
      <w:r>
        <w:rPr>
          <w:rFonts w:ascii="Calibri" w:cs="Calibri" w:eastAsia="Calibri" w:hAnsi="Calibri"/>
          <w:color w:val="1F2933"/>
          <w:sz w:val="18"/>
          <w:szCs w:val="18"/>
        </w:rPr>
        <w:t xml:space="preserve">C'est la transposition à l'échelle d'un bâtiment de la méthodologie de bilan hydrique de l'IWA [10], dont le vocabulaire s'applique directement : chaque zone sous-comptée constitue une DMA (District Metered Area). Trois propriétés du résidu : il agrège toutes les zones non comptées, il cumule les erreurs de tous les compteurs du bilan, et il contient les fuites puisqu'une fuite n'est comptée nulle part ailleurs.</w:t>
      </w:r>
    </w:p>
    <w:p>
      <w:pPr>
        <w:spacing w:after="70" w:before="170"/>
      </w:pP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6.2  Le débit minimum nocturne</w:t>
      </w:r>
    </w:p>
    <w:p>
      <w:pPr>
        <w:spacing w:after="90" w:line="250"/>
      </w:pPr>
      <w:r>
        <w:rPr>
          <w:rFonts w:ascii="Calibri" w:cs="Calibri" w:eastAsia="Calibri" w:hAnsi="Calibri"/>
          <w:color w:val="1F2933"/>
          <w:sz w:val="18"/>
          <w:szCs w:val="18"/>
        </w:rPr>
        <w:t xml:space="preserve">Pendant les heures creuses, la consommation légitime d'une zone inoccupée tend vers zéro : ce qui subsiste est du débit non légitime. Le débit nocturne net — minimum nocturne moins consommation nocturne légitime — est l'estimateur de fuite, et une alarme se déclenche au franchissement d'un seuil calibré sur l'historique [10][11].</w:t>
      </w:r>
    </w:p>
    <w:p>
      <w:pPr>
        <w:spacing w:after="90" w:line="250"/>
      </w:pPr>
      <w:r>
        <w:rPr>
          <w:rFonts w:ascii="Calibri" w:cs="Calibri" w:eastAsia="Calibri" w:hAnsi="Calibri"/>
          <w:color w:val="1F2933"/>
          <w:sz w:val="18"/>
          <w:szCs w:val="18"/>
        </w:rPr>
        <w:t xml:space="preserve">L'intérêt décisif est que cet indicateur reste sensible quel que soit le nombre de zones agrégées, puisque toutes contribuent zéro la nuit. Sa limite est symétrique : il indique qu'une fuite existe, non où elle se trouve. La localisation reste une inspection humaine.</w:t>
      </w:r>
    </w:p>
    <w:p>
      <w:pPr>
        <w:spacing w:after="70" w:before="170"/>
      </w:pP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6.3  Ce que la chaîne de mesure impose</w:t>
      </w:r>
    </w:p>
    <w:p>
      <w:pPr>
        <w:spacing w:after="90" w:line="250"/>
      </w:pPr>
      <w:r>
        <w:rPr>
          <w:rFonts w:ascii="Calibri" w:cs="Calibri" w:eastAsia="Calibri" w:hAnsi="Calibri"/>
          <w:color w:val="1F2933"/>
          <w:sz w:val="18"/>
          <w:szCs w:val="18"/>
        </w:rPr>
        <w:t xml:space="preserve">La plus petite fuite décelable est bornée par la résolution de la mesure. Avec un poids d'impulsion de P litres et un relevé horaire :</w:t>
      </w:r>
    </w:p>
    <w:tbl>
      <w:tblPr>
        <w:tblW w:type="dxa" w:w="9746"/>
        <w:tblBorders>
          <w:top w:val="single" w:color="C3CED4" w:sz="2"/>
          <w:left w:val="none"/>
          <w:bottom w:val="single" w:color="C3CED4" w:sz="2"/>
          <w:right w:val="none"/>
          <w:insideH w:val="single" w:color="D9E1E5" w:sz="2"/>
          <w:insideV w:val="none"/>
        </w:tblBorders>
      </w:tblPr>
      <w:tblGrid>
        <w:gridCol w:w="3200"/>
        <w:gridCol w:w="3200"/>
        <w:gridCol w:w="3346"/>
      </w:tblGrid>
      <w:tr>
        <w:trPr>
          <w:tblHeader/>
        </w:trPr>
        <w:tc>
          <w:tcPr>
            <w:tcW w:type="dxa" w:w="3200"/>
            <w:shd w:fill="0B556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Poids d'impulsion</w:t>
            </w:r>
          </w:p>
        </w:tc>
        <w:tc>
          <w:tcPr>
            <w:tcW w:type="dxa" w:w="3200"/>
            <w:shd w:fill="0B556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Résolution horaire</w:t>
            </w:r>
          </w:p>
        </w:tc>
        <w:tc>
          <w:tcPr>
            <w:tcW w:type="dxa" w:w="3346"/>
            <w:shd w:fill="0B556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Moyennée sur 8 h de nuit</w:t>
            </w:r>
          </w:p>
        </w:tc>
      </w:tr>
      <w:tr>
        <w:tc>
          <w:tcPr>
            <w:tcW w:type="dxa" w:w="3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10 L</w:t>
            </w:r>
          </w:p>
        </w:tc>
        <w:tc>
          <w:tcPr>
            <w:tcW w:type="dxa" w:w="3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10 L/h</w:t>
            </w:r>
          </w:p>
        </w:tc>
        <w:tc>
          <w:tcPr>
            <w:tcW w:type="dxa" w:w="334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≈ 1,3 L/h</w:t>
            </w:r>
          </w:p>
        </w:tc>
      </w:tr>
      <w:tr>
        <w:tc>
          <w:tcPr>
            <w:tcW w:type="dxa" w:w="3200"/>
            <w:shd w:fill="EDF2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100 L</w:t>
            </w:r>
          </w:p>
        </w:tc>
        <w:tc>
          <w:tcPr>
            <w:tcW w:type="dxa" w:w="3200"/>
            <w:shd w:fill="EDF2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100 L/h</w:t>
            </w:r>
          </w:p>
        </w:tc>
        <w:tc>
          <w:tcPr>
            <w:tcW w:type="dxa" w:w="3346"/>
            <w:shd w:fill="EDF2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≈ 12,5 L/h</w:t>
            </w:r>
          </w:p>
        </w:tc>
      </w:tr>
    </w:tbl>
    <w:p>
      <w:pPr>
        <w:spacing w:after="90" w:line="250"/>
      </w:pPr>
      <w:r>
        <w:rPr>
          <w:rFonts w:ascii="Calibri" w:cs="Calibri" w:eastAsia="Calibri" w:hAnsi="Calibri"/>
          <w:color w:val="1F2933"/>
          <w:sz w:val="18"/>
          <w:szCs w:val="18"/>
        </w:rPr>
        <w:t xml:space="preserve">Deux enseignements : le poids d'impulsion se choisit, il ne se subit pas — c'est un paramètre de commande, généralement sans surcoût ; et le moyennage nocturne récupère un ordre de grandeur de sensibilité, ce qui rend exploitable un poids grossier sur une arrivée générale de gros diamètre.</w:t>
      </w:r>
    </w:p>
    <w:p>
      <w:pPr>
        <w:pBdr>
          <w:bottom w:val="single" w:color="C3CED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0B5563"/>
          <w:sz w:val="22"/>
          <w:szCs w:val="22"/>
        </w:rPr>
        <w:t xml:space="preserve">7.  Synthèse : ce que l'état de l'art fonde</w:t>
      </w:r>
    </w:p>
    <w:tbl>
      <w:tblPr>
        <w:tblW w:type="dxa" w:w="9746"/>
        <w:tblBorders>
          <w:top w:val="single" w:color="C3CED4" w:sz="2"/>
          <w:left w:val="none"/>
          <w:bottom w:val="single" w:color="C3CED4" w:sz="2"/>
          <w:right w:val="none"/>
          <w:insideH w:val="single" w:color="D9E1E5" w:sz="2"/>
          <w:insideV w:val="none"/>
        </w:tblBorders>
      </w:tblPr>
      <w:tblGrid>
        <w:gridCol w:w="2700"/>
        <w:gridCol w:w="2600"/>
        <w:gridCol w:w="4446"/>
      </w:tblGrid>
      <w:tr>
        <w:trPr>
          <w:tblHeader/>
        </w:trPr>
        <w:tc>
          <w:tcPr>
            <w:tcW w:type="dxa" w:w="2700"/>
            <w:shd w:fill="0B556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2600"/>
            <w:shd w:fill="0B556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Choix</w:t>
            </w:r>
          </w:p>
        </w:tc>
        <w:tc>
          <w:tcPr>
            <w:tcW w:type="dxa" w:w="4446"/>
            <w:shd w:fill="0B556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Justification</w:t>
            </w:r>
          </w:p>
        </w:tc>
      </w:tr>
      <w:tr>
        <w:tc>
          <w:tcPr>
            <w:tcW w:type="dxa" w:w="2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Transmission</w:t>
            </w:r>
          </w:p>
        </w:tc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LoRaWAN privé</w:t>
            </w:r>
          </w:p>
        </w:tc>
        <w:tc>
          <w:tcPr>
            <w:tcW w:type="dxa" w:w="444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Passerelles déjà présentes, pas d'abonnement, couverture améliorable, données internes (§ 3)</w:t>
            </w:r>
          </w:p>
        </w:tc>
      </w:tr>
      <w:tr>
        <w:tc>
          <w:tcPr>
            <w:tcW w:type="dxa" w:w="2700"/>
            <w:shd w:fill="EDF2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Point de mesure</w:t>
            </w:r>
          </w:p>
        </w:tc>
        <w:tc>
          <w:tcPr>
            <w:tcW w:type="dxa" w:w="2600"/>
            <w:shd w:fill="EDF2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Compteur à impulsions + nœud séparé</w:t>
            </w:r>
          </w:p>
        </w:tc>
        <w:tc>
          <w:tcPr>
            <w:tcW w:type="dxa" w:w="4446"/>
            <w:shd w:fill="EDF2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L'électronique reste hors de la tuyauterie : remplaçable sans vidange du réseau (§ 2.2)</w:t>
            </w:r>
          </w:p>
        </w:tc>
      </w:tr>
      <w:tr>
        <w:tc>
          <w:tcPr>
            <w:tcW w:type="dxa" w:w="2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Serveur de réseau</w:t>
            </w:r>
          </w:p>
        </w:tc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ChirpStack</w:t>
            </w:r>
          </w:p>
        </w:tc>
        <w:tc>
          <w:tcPr>
            <w:tcW w:type="dxa" w:w="444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Données internes, paramétrage inclus (§ 5)</w:t>
            </w:r>
          </w:p>
        </w:tc>
      </w:tr>
      <w:tr>
        <w:tc>
          <w:tcPr>
            <w:tcW w:type="dxa" w:w="2700"/>
            <w:shd w:fill="EDF2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Périodicité</w:t>
            </w:r>
          </w:p>
        </w:tc>
        <w:tc>
          <w:tcPr>
            <w:tcW w:type="dxa" w:w="2600"/>
            <w:shd w:fill="EDF2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Horaire</w:t>
            </w:r>
          </w:p>
        </w:tc>
        <w:tc>
          <w:tcPr>
            <w:tcW w:type="dxa" w:w="4446"/>
            <w:shd w:fill="EDF2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Compatible du temps d'antenne, et nécessaire au minimum nocturne (§ 4.1, § 6.2)</w:t>
            </w:r>
          </w:p>
        </w:tc>
      </w:tr>
      <w:tr>
        <w:tc>
          <w:tcPr>
            <w:tcW w:type="dxa" w:w="2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Format de trame</w:t>
            </w:r>
          </w:p>
        </w:tc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Binaire, index cumulatif</w:t>
            </w:r>
          </w:p>
        </w:tc>
        <w:tc>
          <w:tcPr>
            <w:tcW w:type="dxa" w:w="444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Temps d'antenne limité ; l'index absolu rend la perte d'un message sans conséquence (§ 4.1)</w:t>
            </w:r>
          </w:p>
        </w:tc>
      </w:tr>
      <w:tr>
        <w:tc>
          <w:tcPr>
            <w:tcW w:type="dxa" w:w="2700"/>
            <w:shd w:fill="EDF2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Détection</w:t>
            </w:r>
          </w:p>
        </w:tc>
        <w:tc>
          <w:tcPr>
            <w:tcW w:type="dxa" w:w="2600"/>
            <w:shd w:fill="EDF2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Minimum nocturne sur le résidu</w:t>
            </w:r>
          </w:p>
        </w:tc>
        <w:tc>
          <w:tcPr>
            <w:tcW w:type="dxa" w:w="4446"/>
            <w:shd w:fill="EDF2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Seule méthode restant sensible malgré l'agrégation des zones (§ 6.2)</w:t>
            </w:r>
          </w:p>
        </w:tc>
      </w:tr>
      <w:tr>
        <w:tc>
          <w:tcPr>
            <w:tcW w:type="dxa" w:w="2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Choix des compteurs</w:t>
            </w:r>
          </w:p>
        </w:tc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Sortie impulsion, R élevé, poids d'impulsion fin</w:t>
            </w:r>
          </w:p>
        </w:tc>
        <w:tc>
          <w:tcPr>
            <w:tcW w:type="dxa" w:w="444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Un compteur surdimensionné ne voit pas les fuites (§ 2.1, § 6.3)</w:t>
            </w:r>
          </w:p>
        </w:tc>
      </w:tr>
    </w:tbl>
    <w:p>
      <w:pPr>
        <w:pBdr>
          <w:bottom w:val="single" w:color="C3CED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0B5563"/>
          <w:sz w:val="22"/>
          <w:szCs w:val="22"/>
        </w:rPr>
        <w:t xml:space="preserve">8.  Références</w:t>
      </w:r>
    </w:p>
    <w:p>
      <w:pPr>
        <w:spacing w:after="90" w:line="250"/>
      </w:pPr>
      <w:r>
        <w:rPr>
          <w:rFonts w:ascii="Calibri" w:cs="Calibri" w:eastAsia="Calibri" w:hAnsi="Calibri"/>
          <w:color w:val="1F2933"/>
          <w:sz w:val="18"/>
          <w:szCs w:val="18"/>
        </w:rPr>
        <w:t xml:space="preserve">Références recherchées et corroborées lors de la rédaction. Les documents normatifs payants n'ont pas été ouverts : vérifier la version en vigueur avant citation au rapport final.</w:t>
      </w:r>
    </w:p>
    <w:p>
      <w:pPr>
        <w:spacing w:after="75" w:line="235"/>
        <w:ind w:left="300" w:hanging="300"/>
      </w:pPr>
      <w:r>
        <w:rPr>
          <w:rFonts w:ascii="Calibri" w:cs="Calibri" w:eastAsia="Calibri" w:hAnsi="Calibri"/>
          <w:b/>
          <w:bCs/>
          <w:color w:val="1F2933"/>
          <w:sz w:val="18"/>
          <w:szCs w:val="18"/>
        </w:rPr>
        <w:t xml:space="preserve">[1]  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OIML R 49-1, </w:t>
      </w:r>
      <w:r>
        <w:rPr>
          <w:rFonts w:ascii="Calibri" w:cs="Calibri" w:eastAsia="Calibri" w:hAnsi="Calibri"/>
          <w:i/>
          <w:iCs/>
          <w:color w:val="1F2933"/>
          <w:sz w:val="18"/>
          <w:szCs w:val="18"/>
        </w:rPr>
        <w:t xml:space="preserve">Compteurs d'eau destinés au mesurage de l'eau potable froide et de l'eau chaude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 — </w:t>
      </w:r>
      <w:hyperlink w:history="1" r:id="rIdmpf7u2ztsklyr7vmy_sik">
        <w:r>
          <w:rPr>
            <w:rFonts w:ascii="Calibri" w:cs="Calibri" w:eastAsia="Calibri" w:hAnsi="Calibri"/>
            <w:color w:val="0B5563"/>
            <w:sz w:val="17"/>
            <w:szCs w:val="17"/>
            <w:u w:val="single"/>
          </w:rPr>
          <w:t xml:space="preserve">édition 2024 (EN)</w:t>
        </w:r>
      </w:hyperlink>
      <w:r>
        <w:rPr>
          <w:rFonts w:ascii="Calibri" w:cs="Calibri" w:eastAsia="Calibri" w:hAnsi="Calibri"/>
          <w:color w:val="1F2933"/>
          <w:sz w:val="18"/>
          <w:szCs w:val="18"/>
        </w:rPr>
        <w:t xml:space="preserve"> · </w:t>
      </w:r>
      <w:hyperlink w:history="1" r:id="rIdwfn14ua_93ddq-xelwez3">
        <w:r>
          <w:rPr>
            <w:rFonts w:ascii="Calibri" w:cs="Calibri" w:eastAsia="Calibri" w:hAnsi="Calibri"/>
            <w:color w:val="0B5563"/>
            <w:sz w:val="17"/>
            <w:szCs w:val="17"/>
            <w:u w:val="single"/>
          </w:rPr>
          <w:t xml:space="preserve">édition 2013 (FR)</w:t>
        </w:r>
      </w:hyperlink>
      <w:r>
        <w:rPr>
          <w:rFonts w:ascii="Calibri" w:cs="Calibri" w:eastAsia="Calibri" w:hAnsi="Calibri"/>
          <w:color w:val="1F2933"/>
          <w:sz w:val="18"/>
          <w:szCs w:val="18"/>
        </w:rPr>
        <w:t xml:space="preserve">. À recouper avec EN ISO 4064.</w:t>
      </w:r>
    </w:p>
    <w:p>
      <w:pPr>
        <w:spacing w:after="75" w:line="235"/>
        <w:ind w:left="300" w:hanging="300"/>
      </w:pPr>
      <w:r>
        <w:rPr>
          <w:rFonts w:ascii="Calibri" w:cs="Calibri" w:eastAsia="Calibri" w:hAnsi="Calibri"/>
          <w:b/>
          <w:bCs/>
          <w:color w:val="1F2933"/>
          <w:sz w:val="18"/>
          <w:szCs w:val="18"/>
        </w:rPr>
        <w:t xml:space="preserve">[2]  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Directive 2014/32/UE (MID), instruments de mesure, annexe MI-001 — </w:t>
      </w:r>
      <w:hyperlink w:history="1" r:id="rIduowmndjceumf23bncgw5h">
        <w:r>
          <w:rPr>
            <w:rFonts w:ascii="Calibri" w:cs="Calibri" w:eastAsia="Calibri" w:hAnsi="Calibri"/>
            <w:color w:val="0B5563"/>
            <w:sz w:val="17"/>
            <w:szCs w:val="17"/>
            <w:u w:val="single"/>
          </w:rPr>
          <w:t xml:space="preserve">EUR-Lex</w:t>
        </w:r>
      </w:hyperlink>
    </w:p>
    <w:p>
      <w:pPr>
        <w:spacing w:after="75" w:line="235"/>
        <w:ind w:left="300" w:hanging="300"/>
      </w:pPr>
      <w:r>
        <w:rPr>
          <w:rFonts w:ascii="Calibri" w:cs="Calibri" w:eastAsia="Calibri" w:hAnsi="Calibri"/>
          <w:b/>
          <w:bCs/>
          <w:color w:val="1F2933"/>
          <w:sz w:val="18"/>
          <w:szCs w:val="18"/>
        </w:rPr>
        <w:t xml:space="preserve">[3]  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EN 13757-4, </w:t>
      </w:r>
      <w:r>
        <w:rPr>
          <w:rFonts w:ascii="Calibri" w:cs="Calibri" w:eastAsia="Calibri" w:hAnsi="Calibri"/>
          <w:i/>
          <w:iCs/>
          <w:color w:val="1F2933"/>
          <w:sz w:val="18"/>
          <w:szCs w:val="18"/>
        </w:rPr>
        <w:t xml:space="preserve">communication radio pour compteurs (wireless M-Bus)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 — </w:t>
      </w:r>
      <w:hyperlink w:history="1" r:id="rIdp5mz_nyxutiup0qu5go81">
        <w:r>
          <w:rPr>
            <w:rFonts w:ascii="Calibri" w:cs="Calibri" w:eastAsia="Calibri" w:hAnsi="Calibri"/>
            <w:color w:val="0B5563"/>
            <w:sz w:val="17"/>
            <w:szCs w:val="17"/>
            <w:u w:val="single"/>
          </w:rPr>
          <w:t xml:space="preserve">édition 2025</w:t>
        </w:r>
      </w:hyperlink>
    </w:p>
    <w:p>
      <w:pPr>
        <w:spacing w:after="75" w:line="235"/>
        <w:ind w:left="300" w:hanging="300"/>
      </w:pPr>
      <w:r>
        <w:rPr>
          <w:rFonts w:ascii="Calibri" w:cs="Calibri" w:eastAsia="Calibri" w:hAnsi="Calibri"/>
          <w:b/>
          <w:bCs/>
          <w:color w:val="1F2933"/>
          <w:sz w:val="18"/>
          <w:szCs w:val="18"/>
        </w:rPr>
        <w:t xml:space="preserve">[4]  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ETSI EN 300 220, dispositifs à courte portée sous 1 GHz. Application pratique : </w:t>
      </w:r>
      <w:hyperlink w:history="1" r:id="rIdlt0flgwghgif0vqcrabaz">
        <w:r>
          <w:rPr>
            <w:rFonts w:ascii="Calibri" w:cs="Calibri" w:eastAsia="Calibri" w:hAnsi="Calibri"/>
            <w:color w:val="0B5563"/>
            <w:sz w:val="17"/>
            <w:szCs w:val="17"/>
            <w:u w:val="single"/>
          </w:rPr>
          <w:t xml:space="preserve">The Things Network — Duty Cycle</w:t>
        </w:r>
      </w:hyperlink>
    </w:p>
    <w:p>
      <w:pPr>
        <w:spacing w:after="75" w:line="235"/>
        <w:ind w:left="300" w:hanging="300"/>
      </w:pPr>
      <w:r>
        <w:rPr>
          <w:rFonts w:ascii="Calibri" w:cs="Calibri" w:eastAsia="Calibri" w:hAnsi="Calibri"/>
          <w:b/>
          <w:bCs/>
          <w:color w:val="1F2933"/>
          <w:sz w:val="18"/>
          <w:szCs w:val="18"/>
        </w:rPr>
        <w:t xml:space="preserve">[5]  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LoRa Alliance, </w:t>
      </w:r>
      <w:r>
        <w:rPr>
          <w:rFonts w:ascii="Calibri" w:cs="Calibri" w:eastAsia="Calibri" w:hAnsi="Calibri"/>
          <w:i/>
          <w:iCs/>
          <w:color w:val="1F2933"/>
          <w:sz w:val="18"/>
          <w:szCs w:val="18"/>
        </w:rPr>
        <w:t xml:space="preserve">LoRaWAN Regional Parameters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 (EU863-870) — </w:t>
      </w:r>
      <w:hyperlink w:history="1" r:id="rIdvctuwf1ve1yqixbohlhz8">
        <w:r>
          <w:rPr>
            <w:rFonts w:ascii="Calibri" w:cs="Calibri" w:eastAsia="Calibri" w:hAnsi="Calibri"/>
            <w:color w:val="0B5563"/>
            <w:sz w:val="17"/>
            <w:szCs w:val="17"/>
            <w:u w:val="single"/>
          </w:rPr>
          <w:t xml:space="preserve">RP002-1.0.3</w:t>
        </w:r>
      </w:hyperlink>
    </w:p>
    <w:p>
      <w:pPr>
        <w:spacing w:after="75" w:line="235"/>
        <w:ind w:left="300" w:hanging="300"/>
      </w:pPr>
      <w:r>
        <w:rPr>
          <w:rFonts w:ascii="Calibri" w:cs="Calibri" w:eastAsia="Calibri" w:hAnsi="Calibri"/>
          <w:b/>
          <w:bCs/>
          <w:color w:val="1F2933"/>
          <w:sz w:val="18"/>
          <w:szCs w:val="18"/>
        </w:rPr>
        <w:t xml:space="preserve">[6]  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Semtech, </w:t>
      </w:r>
      <w:hyperlink w:history="1" r:id="rIdbaobstxfodqzjtv4dqxqe">
        <w:r>
          <w:rPr>
            <w:rFonts w:ascii="Calibri" w:cs="Calibri" w:eastAsia="Calibri" w:hAnsi="Calibri"/>
            <w:color w:val="0B5563"/>
            <w:sz w:val="17"/>
            <w:szCs w:val="17"/>
            <w:u w:val="single"/>
          </w:rPr>
          <w:t xml:space="preserve">FAQ LoRa</w:t>
        </w:r>
      </w:hyperlink>
      <w:r>
        <w:rPr>
          <w:rFonts w:ascii="Calibri" w:cs="Calibri" w:eastAsia="Calibri" w:hAnsi="Calibri"/>
          <w:color w:val="1F2933"/>
          <w:sz w:val="18"/>
          <w:szCs w:val="18"/>
        </w:rPr>
        <w:t xml:space="preserve"> — sensibilité et SNR de démodulation par facteur d'étalement.</w:t>
      </w:r>
    </w:p>
    <w:p>
      <w:pPr>
        <w:spacing w:after="75" w:line="235"/>
        <w:ind w:left="300" w:hanging="300"/>
      </w:pPr>
      <w:r>
        <w:rPr>
          <w:rFonts w:ascii="Calibri" w:cs="Calibri" w:eastAsia="Calibri" w:hAnsi="Calibri"/>
          <w:b/>
          <w:bCs/>
          <w:color w:val="1F2933"/>
          <w:sz w:val="18"/>
          <w:szCs w:val="18"/>
        </w:rPr>
        <w:t xml:space="preserve">[7]  </w:t>
      </w:r>
      <w:r>
        <w:rPr>
          <w:rFonts w:ascii="Calibri" w:cs="Calibri" w:eastAsia="Calibri" w:hAnsi="Calibri"/>
          <w:i/>
          <w:iCs/>
          <w:color w:val="1F2933"/>
          <w:sz w:val="18"/>
          <w:szCs w:val="18"/>
        </w:rPr>
        <w:t xml:space="preserve">LPWAN based IoT Architecture for Distributed Energy Monitoring in Deep Indoor Environments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 — </w:t>
      </w:r>
      <w:hyperlink w:history="1" r:id="rIdjolf9diurbd03g_hpf9df">
        <w:r>
          <w:rPr>
            <w:rFonts w:ascii="Calibri" w:cs="Calibri" w:eastAsia="Calibri" w:hAnsi="Calibri"/>
            <w:color w:val="0B5563"/>
            <w:sz w:val="17"/>
            <w:szCs w:val="17"/>
            <w:u w:val="single"/>
          </w:rPr>
          <w:t xml:space="preserve">arXiv 2512.00998</w:t>
        </w:r>
      </w:hyperlink>
      <w:r>
        <w:rPr>
          <w:rFonts w:ascii="Calibri" w:cs="Calibri" w:eastAsia="Calibri" w:hAnsi="Calibri"/>
          <w:color w:val="1F2933"/>
          <w:sz w:val="18"/>
          <w:szCs w:val="18"/>
        </w:rPr>
        <w:t xml:space="preserve">. Atténuation ≈ 10 dB par plancher, ≈ 55 dB vers le sous-sol. </w:t>
      </w:r>
      <w:r>
        <w:rPr>
          <w:rFonts w:ascii="Calibri" w:cs="Calibri" w:eastAsia="Calibri" w:hAnsi="Calibri"/>
          <w:b/>
          <w:bCs/>
          <w:color w:val="1F2933"/>
          <w:sz w:val="18"/>
          <w:szCs w:val="18"/>
        </w:rPr>
        <w:t xml:space="preserve">La référence la plus directement utilisable pour le livrable T3.</w:t>
      </w:r>
    </w:p>
    <w:p>
      <w:pPr>
        <w:spacing w:after="75" w:line="235"/>
        <w:ind w:left="300" w:hanging="300"/>
      </w:pPr>
      <w:r>
        <w:rPr>
          <w:rFonts w:ascii="Calibri" w:cs="Calibri" w:eastAsia="Calibri" w:hAnsi="Calibri"/>
          <w:b/>
          <w:bCs/>
          <w:color w:val="1F2933"/>
          <w:sz w:val="18"/>
          <w:szCs w:val="18"/>
        </w:rPr>
        <w:t xml:space="preserve">[8]  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Recommandation ITU-R P.1238-9 (06/2017), </w:t>
      </w:r>
      <w:r>
        <w:rPr>
          <w:rFonts w:ascii="Calibri" w:cs="Calibri" w:eastAsia="Calibri" w:hAnsi="Calibri"/>
          <w:i/>
          <w:iCs/>
          <w:color w:val="1F2933"/>
          <w:sz w:val="18"/>
          <w:szCs w:val="18"/>
        </w:rPr>
        <w:t xml:space="preserve">propagation pour la planification des systèmes radio en intérieur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 — </w:t>
      </w:r>
      <w:hyperlink w:history="1" r:id="rId1jnph4lexxf9hojjyiis7">
        <w:r>
          <w:rPr>
            <w:rFonts w:ascii="Calibri" w:cs="Calibri" w:eastAsia="Calibri" w:hAnsi="Calibri"/>
            <w:color w:val="0B5563"/>
            <w:sz w:val="17"/>
            <w:szCs w:val="17"/>
            <w:u w:val="single"/>
          </w:rPr>
          <w:t xml:space="preserve">PDF</w:t>
        </w:r>
      </w:hyperlink>
    </w:p>
    <w:p>
      <w:pPr>
        <w:spacing w:after="75" w:line="235"/>
        <w:ind w:left="300" w:hanging="300"/>
      </w:pPr>
      <w:r>
        <w:rPr>
          <w:rFonts w:ascii="Calibri" w:cs="Calibri" w:eastAsia="Calibri" w:hAnsi="Calibri"/>
          <w:b/>
          <w:bCs/>
          <w:color w:val="1F2933"/>
          <w:sz w:val="18"/>
          <w:szCs w:val="18"/>
        </w:rPr>
        <w:t xml:space="preserve">[9]  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ChirpStack — </w:t>
      </w:r>
      <w:hyperlink w:history="1" r:id="rIdv8qyxgpm4qbunwm-spqri">
        <w:r>
          <w:rPr>
            <w:rFonts w:ascii="Calibri" w:cs="Calibri" w:eastAsia="Calibri" w:hAnsi="Calibri"/>
            <w:color w:val="0B5563"/>
            <w:sz w:val="17"/>
            <w:szCs w:val="17"/>
            <w:u w:val="single"/>
          </w:rPr>
          <w:t xml:space="preserve">documentation officielle</w:t>
        </w:r>
      </w:hyperlink>
      <w:r>
        <w:rPr>
          <w:rFonts w:ascii="Calibri" w:cs="Calibri" w:eastAsia="Calibri" w:hAnsi="Calibri"/>
          <w:color w:val="1F2933"/>
          <w:sz w:val="18"/>
          <w:szCs w:val="18"/>
        </w:rPr>
        <w:t xml:space="preserve"> : architecture, intégration MQTT, codecs de payload.</w:t>
      </w:r>
    </w:p>
    <w:p>
      <w:pPr>
        <w:spacing w:after="75" w:line="235"/>
        <w:ind w:left="300" w:hanging="300"/>
      </w:pPr>
      <w:r>
        <w:rPr>
          <w:rFonts w:ascii="Calibri" w:cs="Calibri" w:eastAsia="Calibri" w:hAnsi="Calibri"/>
          <w:b/>
          <w:bCs/>
          <w:color w:val="1F2933"/>
          <w:sz w:val="18"/>
          <w:szCs w:val="18"/>
        </w:rPr>
        <w:t xml:space="preserve">[10]  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IWA Publishing, </w:t>
      </w:r>
      <w:hyperlink w:history="1" r:id="rIdy7xvwhnmfbou_pvez33ap">
        <w:r>
          <w:rPr>
            <w:rFonts w:ascii="Calibri" w:cs="Calibri" w:eastAsia="Calibri" w:hAnsi="Calibri"/>
            <w:color w:val="0B5563"/>
            <w:sz w:val="17"/>
            <w:szCs w:val="17"/>
            <w:u w:val="single"/>
          </w:rPr>
          <w:t xml:space="preserve">Leakage estimation based on water balance, minimum night flow and component analysis methods</w:t>
        </w:r>
      </w:hyperlink>
      <w:r>
        <w:rPr>
          <w:rFonts w:ascii="Calibri" w:cs="Calibri" w:eastAsia="Calibri" w:hAnsi="Calibri"/>
          <w:color w:val="1F2933"/>
          <w:sz w:val="18"/>
          <w:szCs w:val="18"/>
        </w:rPr>
        <w:t xml:space="preserve">, </w:t>
      </w:r>
      <w:r>
        <w:rPr>
          <w:rFonts w:ascii="Calibri" w:cs="Calibri" w:eastAsia="Calibri" w:hAnsi="Calibri"/>
          <w:i/>
          <w:iCs/>
          <w:color w:val="1F2933"/>
          <w:sz w:val="18"/>
          <w:szCs w:val="18"/>
        </w:rPr>
        <w:t xml:space="preserve">Water Practice &amp; Technology</w:t>
      </w:r>
    </w:p>
    <w:p>
      <w:pPr>
        <w:spacing w:after="75" w:line="235"/>
        <w:ind w:left="300" w:hanging="300"/>
      </w:pPr>
      <w:r>
        <w:rPr>
          <w:rFonts w:ascii="Calibri" w:cs="Calibri" w:eastAsia="Calibri" w:hAnsi="Calibri"/>
          <w:b/>
          <w:bCs/>
          <w:color w:val="1F2933"/>
          <w:sz w:val="18"/>
          <w:szCs w:val="18"/>
        </w:rPr>
        <w:t xml:space="preserve">[11]  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IWA Publishing, </w:t>
      </w:r>
      <w:hyperlink w:history="1" r:id="rIdvs-9gei3eveviren03jp2">
        <w:r>
          <w:rPr>
            <w:rFonts w:ascii="Calibri" w:cs="Calibri" w:eastAsia="Calibri" w:hAnsi="Calibri"/>
            <w:color w:val="0B5563"/>
            <w:sz w:val="17"/>
            <w:szCs w:val="17"/>
            <w:u w:val="single"/>
          </w:rPr>
          <w:t xml:space="preserve">Leakage assessment of water supply networks in a university based on WB-Easy Calc and night minimum flow</w:t>
        </w:r>
      </w:hyperlink>
      <w:r>
        <w:rPr>
          <w:rFonts w:ascii="Calibri" w:cs="Calibri" w:eastAsia="Calibri" w:hAnsi="Calibri"/>
          <w:color w:val="1F2933"/>
          <w:sz w:val="18"/>
          <w:szCs w:val="18"/>
        </w:rPr>
        <w:t xml:space="preserve">, </w:t>
      </w:r>
      <w:r>
        <w:rPr>
          <w:rFonts w:ascii="Calibri" w:cs="Calibri" w:eastAsia="Calibri" w:hAnsi="Calibri"/>
          <w:i/>
          <w:iCs/>
          <w:color w:val="1F2933"/>
          <w:sz w:val="18"/>
          <w:szCs w:val="18"/>
        </w:rPr>
        <w:t xml:space="preserve">Water Supply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. </w:t>
      </w:r>
      <w:r>
        <w:rPr>
          <w:rFonts w:ascii="Calibri" w:cs="Calibri" w:eastAsia="Calibri" w:hAnsi="Calibri"/>
          <w:b/>
          <w:bCs/>
          <w:color w:val="1F2933"/>
          <w:sz w:val="18"/>
          <w:szCs w:val="18"/>
        </w:rPr>
        <w:t xml:space="preserve">Étude de cas sur un campus universitaire — le retour d'expérience le plus proche du projet.</w:t>
      </w:r>
    </w:p>
    <w:sectPr>
      <w:pgSz w:w="11906" w:h="16838" w:orient="portrait"/>
      <w:pgMar w:top="1008" w:right="1080" w:bottom="863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pf7u2ztsklyr7vmy_sik" Type="http://schemas.openxmlformats.org/officeDocument/2006/relationships/hyperlink" Target="https://www.oiml.org/en/files/pdf_r/r049-1-e24.pdf" TargetMode="External"/><Relationship Id="rIdwfn14ua_93ddq-xelwez3" Type="http://schemas.openxmlformats.org/officeDocument/2006/relationships/hyperlink" Target="https://www.oiml.org/fr/files/pdf_r/r049-1-f13.pdf" TargetMode="External"/><Relationship Id="rIduowmndjceumf23bncgw5h" Type="http://schemas.openxmlformats.org/officeDocument/2006/relationships/hyperlink" Target="https://eur-lex.europa.eu/eli/dir/2014/32/oj" TargetMode="External"/><Relationship Id="rIdp5mz_nyxutiup0qu5go81" Type="http://schemas.openxmlformats.org/officeDocument/2006/relationships/hyperlink" Target="https://standards.iteh.ai/catalog/standards/cen/b0f5d14e-42a8-4a53-945a-06fc2a3dd0f8/en-13757-4-2025" TargetMode="External"/><Relationship Id="rIdlt0flgwghgif0vqcrabaz" Type="http://schemas.openxmlformats.org/officeDocument/2006/relationships/hyperlink" Target="https://www.thethingsnetwork.org/docs/lorawan/duty-cycle/" TargetMode="External"/><Relationship Id="rIdvctuwf1ve1yqixbohlhz8" Type="http://schemas.openxmlformats.org/officeDocument/2006/relationships/hyperlink" Target="https://lora-alliance.org/wp-content/uploads/2021/05/RP002-1.0.3-FINAL-1.pdf" TargetMode="External"/><Relationship Id="rIdbaobstxfodqzjtv4dqxqe" Type="http://schemas.openxmlformats.org/officeDocument/2006/relationships/hyperlink" Target="https://www.semtech.com/design-support/faq/faq-lora" TargetMode="External"/><Relationship Id="rIdjolf9diurbd03g_hpf9df" Type="http://schemas.openxmlformats.org/officeDocument/2006/relationships/hyperlink" Target="https://arxiv.org/pdf/2512.00998" TargetMode="External"/><Relationship Id="rId1jnph4lexxf9hojjyiis7" Type="http://schemas.openxmlformats.org/officeDocument/2006/relationships/hyperlink" Target="https://www.itu.int/dms_pubrec/itu-r/rec/p/R-REC-P.1238-9-201706-I!!PDF-E.pdf" TargetMode="External"/><Relationship Id="rIdv8qyxgpm4qbunwm-spqri" Type="http://schemas.openxmlformats.org/officeDocument/2006/relationships/hyperlink" Target="https://www.chirpstack.io/" TargetMode="External"/><Relationship Id="rIdy7xvwhnmfbou_pvez33ap" Type="http://schemas.openxmlformats.org/officeDocument/2006/relationships/hyperlink" Target="https://iwaponline.com/wpt/article/13/1/96/38686/Leakage-estimation-in-developing-country-water" TargetMode="External"/><Relationship Id="rIdvs-9gei3eveviren03jp2" Type="http://schemas.openxmlformats.org/officeDocument/2006/relationships/hyperlink" Target="https://iwaponline.com/ws/article/24/8/2781/103525/Leakage-assessment-of-water-supply-networks-in-a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2026-09-22T08:09:44.533Z</dcterms:created>
  <dcterms:modified xsi:type="dcterms:W3CDTF">2026-09-22T08:09:44.534Z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