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B5563"/>
          <w:sz w:val="34"/>
          <w:szCs w:val="34"/>
        </w:rPr>
        <w:t xml:space="preserve">Expression des besoins</w:t>
      </w:r>
    </w:p>
    <w:p>
      <w:pPr>
        <w:spacing w:after="60"/>
      </w:pPr>
      <w:r>
        <w:rPr>
          <w:rFonts w:ascii="Calibri" w:cs="Calibri" w:eastAsia="Calibri" w:hAnsi="Calibri"/>
          <w:color w:val="5B6770"/>
          <w:sz w:val="22"/>
          <w:szCs w:val="22"/>
        </w:rPr>
        <w:t xml:space="preserve">Suivi de la consommation d'eau à l'ECAM par réseau LoRaWAN</w:t>
      </w:r>
    </w:p>
    <w:p>
      <w:pPr>
        <w:pBdr>
          <w:bottom w:val="single" w:color="0B5563" w:sz="12" w:space="6"/>
        </w:pBdr>
        <w:spacing w:after="160"/>
      </w:pPr>
      <w:r>
        <w:rPr>
          <w:rFonts w:ascii="Calibri" w:cs="Calibri" w:eastAsia="Calibri" w:hAnsi="Calibri"/>
          <w:color w:val="5B6770"/>
          <w:sz w:val="15"/>
          <w:szCs w:val="15"/>
        </w:rPr>
        <w:t xml:space="preserve">PRI 2026-2027  ·  Projet collaboratif DAISI  ·  Encadrants : Ivan Martinez et Denys Boiteau  ·  Livrable G1  ·  Version 1.0, à valider le 18/09/2026</w:t>
      </w:r>
    </w:p>
    <w:p>
      <w:pPr>
        <w:pBdr>
          <w:bottom w:val="single" w:color="C3CED4" w:sz="6" w:space="2"/>
        </w:pBdr>
        <w:spacing w:after="90" w:before="200"/>
      </w:pPr>
      <w:r>
        <w:rPr>
          <w:rFonts w:ascii="Calibri" w:cs="Calibri" w:eastAsia="Calibri" w:hAnsi="Calibri"/>
          <w:b/>
          <w:bCs/>
          <w:color w:val="0B5563"/>
          <w:sz w:val="21"/>
          <w:szCs w:val="21"/>
        </w:rPr>
        <w:t xml:space="preserve">1.  Besoin</w:t>
      </w:r>
    </w:p>
    <w:p>
      <w:pPr>
        <w:spacing w:after="80" w:line="240"/>
      </w:pPr>
      <w:r>
        <w:rPr>
          <w:rFonts w:ascii="Calibri" w:cs="Calibri" w:eastAsia="Calibri" w:hAnsi="Calibri"/>
          <w:color w:val="1F2933"/>
          <w:sz w:val="18"/>
          <w:szCs w:val="18"/>
        </w:rPr>
        <w:t xml:space="preserve">Mesurer et suivre la consommation d'eau de l'ECAM par zone d'usage, afin d'identifier les postes de consommation et de détecter les dérives. Les relevés sont transmis par LoRaWAN et exploités dans ChirpStack, utilisé à la fois pour la visualisation et pour le paramétrage des nœuds.</w:t>
      </w:r>
    </w:p>
    <w:p>
      <w:pPr>
        <w:pBdr>
          <w:bottom w:val="single" w:color="C3CED4" w:sz="6" w:space="2"/>
        </w:pBdr>
        <w:spacing w:after="90" w:before="200"/>
      </w:pPr>
      <w:r>
        <w:rPr>
          <w:rFonts w:ascii="Calibri" w:cs="Calibri" w:eastAsia="Calibri" w:hAnsi="Calibri"/>
          <w:b/>
          <w:bCs/>
          <w:color w:val="0B5563"/>
          <w:sz w:val="21"/>
          <w:szCs w:val="21"/>
        </w:rPr>
        <w:t xml:space="preserve">2.  Moyens disponibles</w:t>
      </w:r>
    </w:p>
    <w:tbl>
      <w:tblPr>
        <w:tblW w:type="dxa" w:w="9746"/>
        <w:tblBorders>
          <w:top w:val="single" w:color="C3CED4" w:sz="2"/>
          <w:left w:val="none"/>
          <w:bottom w:val="single" w:color="C3CED4" w:sz="2"/>
          <w:right w:val="none"/>
          <w:insideH w:val="single" w:color="D9E1E5" w:sz="2"/>
          <w:insideV w:val="none"/>
        </w:tblBorders>
      </w:tblPr>
      <w:tblGrid>
        <w:gridCol w:w="3300"/>
        <w:gridCol w:w="2100"/>
        <w:gridCol w:w="4346"/>
      </w:tblGrid>
      <w:tr>
        <w:trPr>
          <w:tblHeader/>
        </w:trPr>
        <w:tc>
          <w:tcPr>
            <w:tcW w:type="dxa" w:w="330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Élément</w:t>
            </w:r>
          </w:p>
        </w:tc>
        <w:tc>
          <w:tcPr>
            <w:tcW w:type="dxa" w:w="210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Quantité</w:t>
            </w:r>
          </w:p>
        </w:tc>
        <w:tc>
          <w:tcPr>
            <w:tcW w:type="dxa" w:w="4346"/>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État</w:t>
            </w:r>
          </w:p>
        </w:tc>
      </w:tr>
      <w:tr>
        <w:tc>
          <w:tcPr>
            <w:tcW w:type="dxa" w:w="3300"/>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Passerelles LoRaWAN</w:t>
            </w:r>
          </w:p>
        </w:tc>
        <w:tc>
          <w:tcPr>
            <w:tcW w:type="dxa" w:w="21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3</w:t>
            </w:r>
          </w:p>
        </w:tc>
        <w:tc>
          <w:tcPr>
            <w:tcW w:type="dxa" w:w="4346"/>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Déjà disponibles</w:t>
            </w:r>
          </w:p>
        </w:tc>
      </w:tr>
      <w:tr>
        <w:tc>
          <w:tcPr>
            <w:tcW w:type="dxa" w:w="3300"/>
            <w:shd w:fill="EDF2F4" w:val="clear"/>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Sous-compteurs d'eau</w:t>
            </w:r>
          </w:p>
        </w:tc>
        <w:tc>
          <w:tcPr>
            <w:tcW w:type="dxa" w:w="21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5</w:t>
            </w:r>
          </w:p>
        </w:tc>
        <w:tc>
          <w:tcPr>
            <w:tcW w:type="dxa" w:w="43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À acheter</w:t>
            </w:r>
          </w:p>
        </w:tc>
      </w:tr>
      <w:tr>
        <w:tc>
          <w:tcPr>
            <w:tcW w:type="dxa" w:w="3300"/>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Nœuds compteurs d'impulsions</w:t>
            </w:r>
          </w:p>
        </w:tc>
        <w:tc>
          <w:tcPr>
            <w:tcW w:type="dxa" w:w="21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À confirmer</w:t>
            </w:r>
          </w:p>
        </w:tc>
        <w:tc>
          <w:tcPr>
            <w:tcW w:type="dxa" w:w="4346"/>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Voir question Q1</w:t>
            </w:r>
          </w:p>
        </w:tc>
      </w:tr>
      <w:tr>
        <w:tc>
          <w:tcPr>
            <w:tcW w:type="dxa" w:w="3300"/>
            <w:shd w:fill="EDF2F4" w:val="clear"/>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Serveur de réseau</w:t>
            </w:r>
          </w:p>
        </w:tc>
        <w:tc>
          <w:tcPr>
            <w:tcW w:type="dxa" w:w="21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ChirpStack</w:t>
            </w:r>
          </w:p>
        </w:tc>
        <w:tc>
          <w:tcPr>
            <w:tcW w:type="dxa" w:w="43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Décidé</w:t>
            </w:r>
          </w:p>
        </w:tc>
      </w:tr>
    </w:tbl>
    <w:p>
      <w:pPr>
        <w:spacing w:after="60"/>
      </w:pPr>
    </w:p>
    <w:p>
      <w:pPr>
        <w:spacing w:after="80" w:line="240"/>
      </w:pPr>
      <w:r>
        <w:rPr>
          <w:rFonts w:ascii="Calibri" w:cs="Calibri" w:eastAsia="Calibri" w:hAnsi="Calibri"/>
          <w:color w:val="1F2933"/>
          <w:sz w:val="18"/>
          <w:szCs w:val="18"/>
        </w:rPr>
        <w:t xml:space="preserve">Trois passerelles pour cinq points de comptage autorisent de la redondance radio : la contrainte porte sur le placement, non sur la couverture.</w:t>
      </w:r>
    </w:p>
    <w:p>
      <w:pPr>
        <w:pBdr>
          <w:bottom w:val="single" w:color="C3CED4" w:sz="6" w:space="2"/>
        </w:pBdr>
        <w:spacing w:after="90" w:before="200"/>
      </w:pPr>
      <w:r>
        <w:rPr>
          <w:rFonts w:ascii="Calibri" w:cs="Calibri" w:eastAsia="Calibri" w:hAnsi="Calibri"/>
          <w:b/>
          <w:bCs/>
          <w:color w:val="0B5563"/>
          <w:sz w:val="21"/>
          <w:szCs w:val="21"/>
        </w:rPr>
        <w:t xml:space="preserve">3.  Périmètre : affectation des sous-compteurs</w:t>
      </w:r>
    </w:p>
    <w:tbl>
      <w:tblPr>
        <w:tblW w:type="dxa" w:w="9746"/>
        <w:tblBorders>
          <w:top w:val="single" w:color="C3CED4" w:sz="2"/>
          <w:left w:val="none"/>
          <w:bottom w:val="single" w:color="C3CED4" w:sz="2"/>
          <w:right w:val="none"/>
          <w:insideH w:val="single" w:color="D9E1E5" w:sz="2"/>
          <w:insideV w:val="none"/>
        </w:tblBorders>
      </w:tblPr>
      <w:tblGrid>
        <w:gridCol w:w="900"/>
        <w:gridCol w:w="4500"/>
        <w:gridCol w:w="4346"/>
      </w:tblGrid>
      <w:tr>
        <w:trPr>
          <w:tblHeader/>
        </w:trPr>
        <w:tc>
          <w:tcPr>
            <w:tcW w:type="dxa" w:w="90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Repère</w:t>
            </w:r>
          </w:p>
        </w:tc>
        <w:tc>
          <w:tcPr>
            <w:tcW w:type="dxa" w:w="450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Zone couverte</w:t>
            </w:r>
          </w:p>
        </w:tc>
        <w:tc>
          <w:tcPr>
            <w:tcW w:type="dxa" w:w="4346"/>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Point d'attention</w:t>
            </w:r>
          </w:p>
        </w:tc>
      </w:tr>
      <w:tr>
        <w:tc>
          <w:tcPr>
            <w:tcW w:type="dxa" w:w="900"/>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SC1</w:t>
            </w:r>
          </w:p>
        </w:tc>
        <w:tc>
          <w:tcPr>
            <w:tcW w:type="dxa" w:w="45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Partie annexe de l'ECAM : cuisine et appartement</w:t>
            </w:r>
          </w:p>
        </w:tc>
        <w:tc>
          <w:tcPr>
            <w:tcW w:type="dxa" w:w="4346"/>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w:t>
            </w:r>
          </w:p>
        </w:tc>
      </w:tr>
      <w:tr>
        <w:tc>
          <w:tcPr>
            <w:tcW w:type="dxa" w:w="900"/>
            <w:shd w:fill="EDF2F4" w:val="clear"/>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SC2</w:t>
            </w:r>
          </w:p>
        </w:tc>
        <w:tc>
          <w:tcPr>
            <w:tcW w:type="dxa" w:w="45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S4 : toilettes et lavabos des salles de TP</w:t>
            </w:r>
          </w:p>
        </w:tc>
        <w:tc>
          <w:tcPr>
            <w:tcW w:type="dxa" w:w="43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w:t>
            </w:r>
          </w:p>
        </w:tc>
      </w:tr>
      <w:tr>
        <w:tc>
          <w:tcPr>
            <w:tcW w:type="dxa" w:w="900"/>
            <w:shd w:fill="FDF3E7" w:val="clear"/>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SC3</w:t>
            </w:r>
          </w:p>
        </w:tc>
        <w:tc>
          <w:tcPr>
            <w:tcW w:type="dxa" w:w="4500"/>
            <w:shd w:fill="FDF3E7"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S1</w:t>
            </w:r>
          </w:p>
        </w:tc>
        <w:tc>
          <w:tcPr>
            <w:tcW w:type="dxa" w:w="4346"/>
            <w:shd w:fill="FDF3E7"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Inclut la dérivation d'une entreprise tierce</w:t>
            </w:r>
          </w:p>
        </w:tc>
      </w:tr>
      <w:tr>
        <w:tc>
          <w:tcPr>
            <w:tcW w:type="dxa" w:w="900"/>
            <w:shd w:fill="EDF2F4" w:val="clear"/>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SC4</w:t>
            </w:r>
          </w:p>
        </w:tc>
        <w:tc>
          <w:tcPr>
            <w:tcW w:type="dxa" w:w="45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Bar et toilettes principales</w:t>
            </w:r>
          </w:p>
        </w:tc>
        <w:tc>
          <w:tcPr>
            <w:tcW w:type="dxa" w:w="43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w:t>
            </w:r>
          </w:p>
        </w:tc>
      </w:tr>
      <w:tr>
        <w:tc>
          <w:tcPr>
            <w:tcW w:type="dxa" w:w="900"/>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SC5</w:t>
            </w:r>
          </w:p>
        </w:tc>
        <w:tc>
          <w:tcPr>
            <w:tcW w:type="dxa" w:w="45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Arrivée d'eau générale de l'ECAM</w:t>
            </w:r>
          </w:p>
        </w:tc>
        <w:tc>
          <w:tcPr>
            <w:tcW w:type="dxa" w:w="4346"/>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Index total télérelevé</w:t>
            </w:r>
          </w:p>
        </w:tc>
      </w:tr>
    </w:tbl>
    <w:p>
      <w:pPr>
        <w:pBdr>
          <w:bottom w:val="single" w:color="C3CED4" w:sz="6" w:space="2"/>
        </w:pBdr>
        <w:spacing w:after="90" w:before="200"/>
      </w:pPr>
      <w:r>
        <w:rPr>
          <w:rFonts w:ascii="Calibri" w:cs="Calibri" w:eastAsia="Calibri" w:hAnsi="Calibri"/>
          <w:b/>
          <w:bCs/>
          <w:color w:val="0B5563"/>
          <w:sz w:val="21"/>
          <w:szCs w:val="21"/>
        </w:rPr>
        <w:t xml:space="preserve">4.  Calcul du poste non sous-compté</w:t>
      </w:r>
    </w:p>
    <w:tbl>
      <w:tblPr>
        <w:tblW w:type="dxa" w:w="9746"/>
        <w:tblBorders>
          <w:top w:val="none"/>
          <w:left w:val="single" w:color="0B5563" w:sz="18"/>
          <w:bottom w:val="none"/>
          <w:right w:val="none"/>
          <w:insideH w:val="single" w:color="auto" w:sz="4"/>
          <w:insideV w:val="single" w:color="auto" w:sz="4"/>
        </w:tblBorders>
      </w:tblPr>
      <w:tblGrid>
        <w:gridCol w:w="9746"/>
      </w:tblGrid>
      <w:tr>
        <w:tc>
          <w:tcPr>
            <w:tcW w:type="dxa" w:w="9746"/>
            <w:shd w:fill="EDF2F4" w:val="clear"/>
            <w:tcMar>
              <w:top w:type="dxa" w:w="90"/>
              <w:left w:type="dxa" w:w="160"/>
              <w:bottom w:type="dxa" w:w="90"/>
              <w:right w:type="dxa" w:w="120"/>
            </w:tcMar>
          </w:tcPr>
          <w:p>
            <w:pPr>
              <w:spacing w:after="0" w:line="240"/>
              <w:jc w:val="center"/>
            </w:pPr>
            <w:r>
              <w:rPr>
                <w:rFonts w:ascii="Consolas" w:cs="Consolas" w:eastAsia="Consolas" w:hAnsi="Consolas"/>
                <w:b/>
                <w:bCs/>
                <w:color w:val="0B5563"/>
                <w:sz w:val="20"/>
                <w:szCs w:val="20"/>
              </w:rPr>
              <w:t xml:space="preserve">Résidu  =  SC5  −  ( SC1 + SC2 + SC3 + SC4 )</w:t>
            </w:r>
          </w:p>
        </w:tc>
      </w:tr>
    </w:tbl>
    <w:p>
      <w:pPr>
        <w:spacing w:after="80"/>
      </w:pPr>
    </w:p>
    <w:p>
      <w:pPr>
        <w:spacing w:after="80" w:line="240"/>
      </w:pPr>
      <w:r>
        <w:rPr>
          <w:rFonts w:ascii="Calibri" w:cs="Calibri" w:eastAsia="Calibri" w:hAnsi="Calibri"/>
          <w:color w:val="1F2933"/>
          <w:sz w:val="18"/>
          <w:szCs w:val="18"/>
        </w:rPr>
        <w:t xml:space="preserve">SC5 étant l'arrivée générale, la formule ne porte que sur les quatre sous-compteurs de zone. </w:t>
      </w:r>
      <w:r>
        <w:rPr>
          <w:rFonts w:ascii="Calibri" w:cs="Calibri" w:eastAsia="Calibri" w:hAnsi="Calibri"/>
          <w:b/>
          <w:bCs/>
          <w:color w:val="1F2933"/>
          <w:sz w:val="18"/>
          <w:szCs w:val="18"/>
        </w:rPr>
        <w:t xml:space="preserve">Ce résidu n'est pas la consommation des toilettes</w:t>
      </w:r>
      <w:r>
        <w:rPr>
          <w:rFonts w:ascii="Calibri" w:cs="Calibri" w:eastAsia="Calibri" w:hAnsi="Calibri"/>
          <w:color w:val="1F2933"/>
          <w:sz w:val="18"/>
          <w:szCs w:val="18"/>
        </w:rPr>
        <w:t xml:space="preserve"> : il agrège les toilettes non équipées, les usages divers non comptés et les fuites du réseau enterré. Il est donc désigné « non sous-compté » dans ChirpStack et dans les rapports. Un résidu qui ne redescend pas la nuit signale une fuite, et non un usage — c'est précisément ce que le projet doit détecter.</w:t>
      </w:r>
    </w:p>
    <w:p>
      <w:pPr>
        <w:spacing w:after="80" w:line="240"/>
      </w:pPr>
      <w:r>
        <w:rPr>
          <w:rFonts w:ascii="Calibri" w:cs="Calibri" w:eastAsia="Calibri" w:hAnsi="Calibri"/>
          <w:color w:val="1F2933"/>
          <w:sz w:val="18"/>
          <w:szCs w:val="18"/>
        </w:rPr>
        <w:t xml:space="preserve">Consommation propre à l'ECAM : </w:t>
      </w:r>
      <w:r>
        <w:rPr>
          <w:rFonts w:ascii="Calibri" w:cs="Calibri" w:eastAsia="Calibri" w:hAnsi="Calibri"/>
          <w:b/>
          <w:bCs/>
          <w:color w:val="1F2933"/>
          <w:sz w:val="18"/>
          <w:szCs w:val="18"/>
        </w:rPr>
        <w:t xml:space="preserve">ECAM = SC5 − entreprise tierce</w:t>
      </w:r>
      <w:r>
        <w:rPr>
          <w:rFonts w:ascii="Calibri" w:cs="Calibri" w:eastAsia="Calibri" w:hAnsi="Calibri"/>
          <w:color w:val="1F2933"/>
          <w:sz w:val="18"/>
          <w:szCs w:val="18"/>
        </w:rPr>
        <w:t xml:space="preserve">. Plutôt que de soustraire cette consommation, qu'il faudrait connaître, la solution à privilégier est de poser SC3 en aval de la dérivation, de sorte qu'il ne voie que l'ECAM : la soustraction disparaît. À défaut, un sixième sous-compteur est nécessaire.</w:t>
      </w:r>
    </w:p>
    <w:p>
      <w:pPr>
        <w:pBdr>
          <w:bottom w:val="single" w:color="C3CED4" w:sz="6" w:space="2"/>
        </w:pBdr>
        <w:spacing w:after="90" w:before="200"/>
      </w:pPr>
      <w:r>
        <w:rPr>
          <w:rFonts w:ascii="Calibri" w:cs="Calibri" w:eastAsia="Calibri" w:hAnsi="Calibri"/>
          <w:b/>
          <w:bCs/>
          <w:color w:val="0B5563"/>
          <w:sz w:val="21"/>
          <w:szCs w:val="21"/>
        </w:rPr>
        <w:t xml:space="preserve">5.  Travaux à mener</w:t>
      </w:r>
    </w:p>
    <w:p>
      <w:pPr>
        <w:spacing w:after="80" w:line="240"/>
      </w:pPr>
      <w:r>
        <w:rPr>
          <w:rFonts w:ascii="Calibri" w:cs="Calibri" w:eastAsia="Calibri" w:hAnsi="Calibri"/>
          <w:b/>
          <w:bCs/>
          <w:color w:val="1F2933"/>
          <w:sz w:val="18"/>
          <w:szCs w:val="18"/>
        </w:rPr>
        <w:t xml:space="preserve">a.  Étude de propagation et placement des passerelles. </w:t>
      </w:r>
      <w:r>
        <w:rPr>
          <w:rFonts w:ascii="Calibri" w:cs="Calibri" w:eastAsia="Calibri" w:hAnsi="Calibri"/>
          <w:color w:val="1F2933"/>
          <w:sz w:val="18"/>
          <w:szCs w:val="18"/>
        </w:rPr>
        <w:t xml:space="preserve">Positionner les trois passerelles de sorte que les cinq sous-compteurs remontent leurs données de façon fiable ; produire le schéma de propagation. Raccordement réseau : le WiFi de l'ECAM, autorisé par le service informatique, pour l'exploitation définitive ; le partage de connexion depuis un téléphone pour la seule campagne de mesures. Une passerelle en exploitation devant rester connectée en permanence, la demande d'accès est à déposer dès septembre ; un refus imposerait un raccordement filaire ou un abonnement 4G, à budgéter.</w:t>
      </w:r>
    </w:p>
    <w:p>
      <w:pPr>
        <w:spacing w:after="80" w:line="240"/>
      </w:pPr>
      <w:r>
        <w:rPr>
          <w:rFonts w:ascii="Calibri" w:cs="Calibri" w:eastAsia="Calibri" w:hAnsi="Calibri"/>
          <w:b/>
          <w:bCs/>
          <w:color w:val="1F2933"/>
          <w:sz w:val="18"/>
          <w:szCs w:val="18"/>
        </w:rPr>
        <w:t xml:space="preserve">b.  Relevé des canalisations. </w:t>
      </w:r>
      <w:r>
        <w:rPr>
          <w:rFonts w:ascii="Calibri" w:cs="Calibri" w:eastAsia="Calibri" w:hAnsi="Calibri"/>
          <w:color w:val="1F2933"/>
          <w:sz w:val="18"/>
          <w:szCs w:val="18"/>
        </w:rPr>
        <w:t xml:space="preserve">Relever à chaque point de pose le diamètre nominal, le type de raccord et la longueur droite disponible en amont et en aval, sans laquelle le compteur sort de sa classe de précision. Choisir une classe métrologique R160 ou meilleure là où une détection de fuite est attendue : un compteur surdimensionné ne voit pas les petits débits, où se lisent les fuites.</w:t>
      </w:r>
    </w:p>
    <w:p>
      <w:pPr>
        <w:spacing w:after="80" w:line="240"/>
      </w:pPr>
      <w:r>
        <w:rPr>
          <w:rFonts w:ascii="Calibri" w:cs="Calibri" w:eastAsia="Calibri" w:hAnsi="Calibri"/>
          <w:b/>
          <w:bCs/>
          <w:color w:val="1F2933"/>
          <w:sz w:val="18"/>
          <w:szCs w:val="18"/>
        </w:rPr>
        <w:t xml:space="preserve">c.  Demandes de devis. </w:t>
      </w:r>
      <w:r>
        <w:rPr>
          <w:rFonts w:ascii="Calibri" w:cs="Calibri" w:eastAsia="Calibri" w:hAnsi="Calibri"/>
          <w:color w:val="1F2933"/>
          <w:sz w:val="18"/>
          <w:szCs w:val="18"/>
        </w:rPr>
        <w:t xml:space="preserve">Comparer deux scénarios : achat des sous-compteurs par l'ECAM et pose par le plombier, ou fourniture et pose par le plombier. Le premier maîtrise le prix et le choix du modèle, mais le plombier peut refuser de garantir une pose sur du matériel qu'il n'a pas fourni. Exiger dans les deux cas un devis séparant fourniture et pose, faute de quoi la comparaison est impossible, et mentionnant explicitement la sortie impulsion : un compteur d'eau standard n'en comporte pas, et sans elle rien ne remonte.</w:t>
      </w:r>
    </w:p>
    <w:p>
      <w:pPr>
        <w:spacing w:after="80" w:line="240"/>
      </w:pPr>
      <w:r>
        <w:rPr>
          <w:rFonts w:ascii="Calibri" w:cs="Calibri" w:eastAsia="Calibri" w:hAnsi="Calibri"/>
          <w:b/>
          <w:bCs/>
          <w:color w:val="1F2933"/>
          <w:sz w:val="18"/>
          <w:szCs w:val="18"/>
        </w:rPr>
        <w:t xml:space="preserve">d.  Remontée des données. </w:t>
      </w:r>
      <w:r>
        <w:rPr>
          <w:rFonts w:ascii="Calibri" w:cs="Calibri" w:eastAsia="Calibri" w:hAnsi="Calibri"/>
          <w:color w:val="1F2933"/>
          <w:sz w:val="18"/>
          <w:szCs w:val="18"/>
        </w:rPr>
        <w:t xml:space="preserve">Collecter les relevés par LoRaWAN et les exploiter dans ChirpStack, pour la visualisation comme pour le paramétrage à distance des nœuds.</w:t>
      </w:r>
    </w:p>
    <w:p>
      <w:pPr>
        <w:pBdr>
          <w:bottom w:val="single" w:color="C3CED4" w:sz="6" w:space="2"/>
        </w:pBdr>
        <w:spacing w:after="90" w:before="200"/>
      </w:pPr>
      <w:r>
        <w:rPr>
          <w:rFonts w:ascii="Calibri" w:cs="Calibri" w:eastAsia="Calibri" w:hAnsi="Calibri"/>
          <w:b/>
          <w:bCs/>
          <w:color w:val="0B5563"/>
          <w:sz w:val="21"/>
          <w:szCs w:val="21"/>
        </w:rPr>
        <w:t xml:space="preserve">6.  Questions ouvertes</w:t>
      </w:r>
    </w:p>
    <w:tbl>
      <w:tblPr>
        <w:tblW w:type="dxa" w:w="9746"/>
        <w:tblBorders>
          <w:top w:val="single" w:color="C3CED4" w:sz="2"/>
          <w:left w:val="none"/>
          <w:bottom w:val="single" w:color="C3CED4" w:sz="2"/>
          <w:right w:val="none"/>
          <w:insideH w:val="single" w:color="D9E1E5" w:sz="2"/>
          <w:insideV w:val="none"/>
        </w:tblBorders>
      </w:tblPr>
      <w:tblGrid>
        <w:gridCol w:w="620"/>
        <w:gridCol w:w="4680"/>
        <w:gridCol w:w="4446"/>
      </w:tblGrid>
      <w:tr>
        <w:trPr>
          <w:tblHeader/>
        </w:trPr>
        <w:tc>
          <w:tcPr>
            <w:tcW w:type="dxa" w:w="62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
            </w:r>
          </w:p>
        </w:tc>
        <w:tc>
          <w:tcPr>
            <w:tcW w:type="dxa" w:w="468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Question</w:t>
            </w:r>
          </w:p>
        </w:tc>
        <w:tc>
          <w:tcPr>
            <w:tcW w:type="dxa" w:w="4446"/>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Pourquoi c'est bloquant</w:t>
            </w:r>
          </w:p>
        </w:tc>
      </w:tr>
      <w:tr>
        <w:tc>
          <w:tcPr>
            <w:tcW w:type="dxa" w:w="620"/>
            <w:tcMar>
              <w:top w:type="dxa" w:w="55"/>
              <w:left w:type="dxa" w:w="90"/>
              <w:bottom w:type="dxa" w:w="55"/>
              <w:right w:type="dxa" w:w="90"/>
            </w:tcMar>
          </w:tcPr>
          <w:p>
            <w:pPr>
              <w:spacing w:after="0" w:line="230"/>
            </w:pPr>
            <w:r>
              <w:rPr>
                <w:rFonts w:ascii="Calibri" w:cs="Calibri" w:eastAsia="Calibri" w:hAnsi="Calibri"/>
                <w:b/>
                <w:bCs/>
                <w:color w:val="1F2933"/>
                <w:sz w:val="16"/>
                <w:szCs w:val="16"/>
              </w:rPr>
              <w:t xml:space="preserve">Q1</w:t>
            </w:r>
          </w:p>
        </w:tc>
        <w:tc>
          <w:tcPr>
            <w:tcW w:type="dxa" w:w="4680"/>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Disposons-nous déjà de nœuds compteurs d'impulsions, ou seulement des passerelles ?</w:t>
            </w:r>
          </w:p>
        </w:tc>
        <w:tc>
          <w:tcPr>
            <w:tcW w:type="dxa" w:w="4446"/>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Sans nœud, la campagne de mesures de novembre est impossible</w:t>
            </w:r>
          </w:p>
        </w:tc>
      </w:tr>
      <w:tr>
        <w:tc>
          <w:tcPr>
            <w:tcW w:type="dxa" w:w="620"/>
            <w:shd w:fill="EDF2F4" w:val="clear"/>
            <w:tcMar>
              <w:top w:type="dxa" w:w="55"/>
              <w:left w:type="dxa" w:w="90"/>
              <w:bottom w:type="dxa" w:w="55"/>
              <w:right w:type="dxa" w:w="90"/>
            </w:tcMar>
          </w:tcPr>
          <w:p>
            <w:pPr>
              <w:spacing w:after="0" w:line="230"/>
            </w:pPr>
            <w:r>
              <w:rPr>
                <w:rFonts w:ascii="Calibri" w:cs="Calibri" w:eastAsia="Calibri" w:hAnsi="Calibri"/>
                <w:b/>
                <w:bCs/>
                <w:color w:val="1F2933"/>
                <w:sz w:val="16"/>
                <w:szCs w:val="16"/>
              </w:rPr>
              <w:t xml:space="preserve">Q2</w:t>
            </w:r>
          </w:p>
        </w:tc>
        <w:tc>
          <w:tcPr>
            <w:tcW w:type="dxa" w:w="468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SC3 peut-il être posé en aval de la dérivation de l'entreprise tierce ?</w:t>
            </w:r>
          </w:p>
        </w:tc>
        <w:tc>
          <w:tcPr>
            <w:tcW w:type="dxa" w:w="44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Détermine la nécessité d'un sixième compteur, donc le budget</w:t>
            </w:r>
          </w:p>
        </w:tc>
      </w:tr>
      <w:tr>
        <w:tc>
          <w:tcPr>
            <w:tcW w:type="dxa" w:w="620"/>
            <w:tcMar>
              <w:top w:type="dxa" w:w="55"/>
              <w:left w:type="dxa" w:w="90"/>
              <w:bottom w:type="dxa" w:w="55"/>
              <w:right w:type="dxa" w:w="90"/>
            </w:tcMar>
          </w:tcPr>
          <w:p>
            <w:pPr>
              <w:spacing w:after="0" w:line="230"/>
            </w:pPr>
            <w:r>
              <w:rPr>
                <w:rFonts w:ascii="Calibri" w:cs="Calibri" w:eastAsia="Calibri" w:hAnsi="Calibri"/>
                <w:b/>
                <w:bCs/>
                <w:color w:val="1F2933"/>
                <w:sz w:val="16"/>
                <w:szCs w:val="16"/>
              </w:rPr>
              <w:t xml:space="preserve">Q3</w:t>
            </w:r>
          </w:p>
        </w:tc>
        <w:tc>
          <w:tcPr>
            <w:tcW w:type="dxa" w:w="4680"/>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SC5 remplace-t-il le compteur du distributeur, ou s'y ajoute-t-il ?</w:t>
            </w:r>
          </w:p>
        </w:tc>
        <w:tc>
          <w:tcPr>
            <w:tcW w:type="dxa" w:w="4446"/>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Conditionne le recoupement des index avec la facture d'eau</w:t>
            </w:r>
          </w:p>
        </w:tc>
      </w:tr>
      <w:tr>
        <w:tc>
          <w:tcPr>
            <w:tcW w:type="dxa" w:w="620"/>
            <w:shd w:fill="EDF2F4" w:val="clear"/>
            <w:tcMar>
              <w:top w:type="dxa" w:w="55"/>
              <w:left w:type="dxa" w:w="90"/>
              <w:bottom w:type="dxa" w:w="55"/>
              <w:right w:type="dxa" w:w="90"/>
            </w:tcMar>
          </w:tcPr>
          <w:p>
            <w:pPr>
              <w:spacing w:after="0" w:line="230"/>
            </w:pPr>
            <w:r>
              <w:rPr>
                <w:rFonts w:ascii="Calibri" w:cs="Calibri" w:eastAsia="Calibri" w:hAnsi="Calibri"/>
                <w:b/>
                <w:bCs/>
                <w:color w:val="1F2933"/>
                <w:sz w:val="16"/>
                <w:szCs w:val="16"/>
              </w:rPr>
              <w:t xml:space="preserve">Q4</w:t>
            </w:r>
          </w:p>
        </w:tc>
        <w:tc>
          <w:tcPr>
            <w:tcW w:type="dxa" w:w="468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La demande d'accès WiFi au service informatique est-elle déposée ?</w:t>
            </w:r>
          </w:p>
        </w:tc>
        <w:tc>
          <w:tcPr>
            <w:tcW w:type="dxa" w:w="44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Chemin critique ; un refus impose du filaire ou de la 4G</w:t>
            </w:r>
          </w:p>
        </w:tc>
      </w:tr>
      <w:tr>
        <w:tc>
          <w:tcPr>
            <w:tcW w:type="dxa" w:w="620"/>
            <w:tcMar>
              <w:top w:type="dxa" w:w="55"/>
              <w:left w:type="dxa" w:w="90"/>
              <w:bottom w:type="dxa" w:w="55"/>
              <w:right w:type="dxa" w:w="90"/>
            </w:tcMar>
          </w:tcPr>
          <w:p>
            <w:pPr>
              <w:spacing w:after="0" w:line="230"/>
            </w:pPr>
            <w:r>
              <w:rPr>
                <w:rFonts w:ascii="Calibri" w:cs="Calibri" w:eastAsia="Calibri" w:hAnsi="Calibri"/>
                <w:b/>
                <w:bCs/>
                <w:color w:val="1F2933"/>
                <w:sz w:val="16"/>
                <w:szCs w:val="16"/>
              </w:rPr>
              <w:t xml:space="preserve">Q5</w:t>
            </w:r>
          </w:p>
        </w:tc>
        <w:tc>
          <w:tcPr>
            <w:tcW w:type="dxa" w:w="4680"/>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Quel budget est alloué, et qui passe commande ?</w:t>
            </w:r>
          </w:p>
        </w:tc>
        <w:tc>
          <w:tcPr>
            <w:tcW w:type="dxa" w:w="4446"/>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La commande doit partir le 4 décembre au plus tard</w:t>
            </w:r>
          </w:p>
        </w:tc>
      </w:tr>
      <w:tr>
        <w:tc>
          <w:tcPr>
            <w:tcW w:type="dxa" w:w="620"/>
            <w:shd w:fill="EDF2F4" w:val="clear"/>
            <w:tcMar>
              <w:top w:type="dxa" w:w="55"/>
              <w:left w:type="dxa" w:w="90"/>
              <w:bottom w:type="dxa" w:w="55"/>
              <w:right w:type="dxa" w:w="90"/>
            </w:tcMar>
          </w:tcPr>
          <w:p>
            <w:pPr>
              <w:spacing w:after="0" w:line="230"/>
            </w:pPr>
            <w:r>
              <w:rPr>
                <w:rFonts w:ascii="Calibri" w:cs="Calibri" w:eastAsia="Calibri" w:hAnsi="Calibri"/>
                <w:b/>
                <w:bCs/>
                <w:color w:val="1F2933"/>
                <w:sz w:val="16"/>
                <w:szCs w:val="16"/>
              </w:rPr>
              <w:t xml:space="preserve">Q6</w:t>
            </w:r>
          </w:p>
        </w:tc>
        <w:tc>
          <w:tcPr>
            <w:tcW w:type="dxa" w:w="468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Les toilettes non équipées sont-elles identifiées et localisées ?</w:t>
            </w:r>
          </w:p>
        </w:tc>
        <w:tc>
          <w:tcPr>
            <w:tcW w:type="dxa" w:w="44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Sans cela, le résidu ne peut pas être interprété</w:t>
            </w:r>
          </w:p>
        </w:tc>
      </w:tr>
      <w:tr>
        <w:tc>
          <w:tcPr>
            <w:tcW w:type="dxa" w:w="620"/>
            <w:tcMar>
              <w:top w:type="dxa" w:w="55"/>
              <w:left w:type="dxa" w:w="90"/>
              <w:bottom w:type="dxa" w:w="55"/>
              <w:right w:type="dxa" w:w="90"/>
            </w:tcMar>
          </w:tcPr>
          <w:p>
            <w:pPr>
              <w:spacing w:after="0" w:line="230"/>
            </w:pPr>
            <w:r>
              <w:rPr>
                <w:rFonts w:ascii="Calibri" w:cs="Calibri" w:eastAsia="Calibri" w:hAnsi="Calibri"/>
                <w:b/>
                <w:bCs/>
                <w:color w:val="1F2933"/>
                <w:sz w:val="16"/>
                <w:szCs w:val="16"/>
              </w:rPr>
              <w:t xml:space="preserve">Q7</w:t>
            </w:r>
          </w:p>
        </w:tc>
        <w:tc>
          <w:tcPr>
            <w:tcW w:type="dxa" w:w="4680"/>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Quelle précision est attendue sur le résidu ?</w:t>
            </w:r>
          </w:p>
        </w:tc>
        <w:tc>
          <w:tcPr>
            <w:tcW w:type="dxa" w:w="4446"/>
            <w:tcMar>
              <w:top w:type="dxa" w:w="55"/>
              <w:left w:type="dxa" w:w="90"/>
              <w:bottom w:type="dxa" w:w="55"/>
              <w:right w:type="dxa" w:w="90"/>
            </w:tcMar>
          </w:tcPr>
          <w:p>
            <w:pPr>
              <w:spacing w:after="0" w:line="230"/>
            </w:pPr>
            <w:r>
              <w:rPr>
                <w:rFonts w:ascii="Calibri" w:cs="Calibri" w:eastAsia="Calibri" w:hAnsi="Calibri"/>
                <w:b w:val="false"/>
                <w:bCs w:val="false"/>
                <w:color w:val="1F2933"/>
                <w:sz w:val="16"/>
                <w:szCs w:val="16"/>
              </w:rPr>
              <w:t xml:space="preserve">Il cumule les erreurs des cinq compteurs, alors qu'il porte la détection de fuite</w:t>
            </w:r>
          </w:p>
        </w:tc>
      </w:tr>
    </w:tbl>
    <w:p>
      <w:pPr>
        <w:pBdr>
          <w:bottom w:val="single" w:color="C3CED4" w:sz="6" w:space="2"/>
        </w:pBdr>
        <w:spacing w:after="90" w:before="200"/>
      </w:pPr>
      <w:r>
        <w:rPr>
          <w:rFonts w:ascii="Calibri" w:cs="Calibri" w:eastAsia="Calibri" w:hAnsi="Calibri"/>
          <w:b/>
          <w:bCs/>
          <w:color w:val="0B5563"/>
          <w:sz w:val="21"/>
          <w:szCs w:val="21"/>
        </w:rPr>
        <w:t xml:space="preserve">7.  Critères de réussite proposés</w:t>
      </w:r>
    </w:p>
    <w:p>
      <w:pPr>
        <w:spacing w:after="60" w:line="235"/>
        <w:ind w:left="200" w:hanging="160"/>
      </w:pPr>
      <w:r>
        <w:rPr>
          <w:rFonts w:ascii="Calibri" w:cs="Calibri" w:eastAsia="Calibri" w:hAnsi="Calibri"/>
          <w:color w:val="1F2933"/>
          <w:sz w:val="18"/>
          <w:szCs w:val="18"/>
        </w:rPr>
        <w:t xml:space="preserve">— </w:t>
      </w:r>
      <w:r>
        <w:rPr>
          <w:rFonts w:ascii="Calibri" w:cs="Calibri" w:eastAsia="Calibri" w:hAnsi="Calibri"/>
          <w:color w:val="1F2933"/>
          <w:sz w:val="18"/>
          <w:szCs w:val="18"/>
        </w:rPr>
        <w:t xml:space="preserve">Les cinq sous-compteurs remontent un index au pas horaire dans ChirpStack, avec un taux de messages reçus supérieur à 95 % sur quinze jours consécutifs.</w:t>
      </w:r>
    </w:p>
    <w:p>
      <w:pPr>
        <w:spacing w:after="60" w:line="235"/>
        <w:ind w:left="200" w:hanging="160"/>
      </w:pPr>
      <w:r>
        <w:rPr>
          <w:rFonts w:ascii="Calibri" w:cs="Calibri" w:eastAsia="Calibri" w:hAnsi="Calibri"/>
          <w:color w:val="1F2933"/>
          <w:sz w:val="18"/>
          <w:szCs w:val="18"/>
        </w:rPr>
        <w:t xml:space="preserve">— </w:t>
      </w:r>
      <w:r>
        <w:rPr>
          <w:rFonts w:ascii="Calibri" w:cs="Calibri" w:eastAsia="Calibri" w:hAnsi="Calibri"/>
          <w:color w:val="1F2933"/>
          <w:sz w:val="18"/>
          <w:szCs w:val="18"/>
        </w:rPr>
        <w:t xml:space="preserve">Les trois passerelles sont raccordées de façon pérenne, sans partage de connexion téléphonique.</w:t>
      </w:r>
    </w:p>
    <w:p>
      <w:pPr>
        <w:spacing w:after="60" w:line="235"/>
        <w:ind w:left="200" w:hanging="160"/>
      </w:pPr>
      <w:r>
        <w:rPr>
          <w:rFonts w:ascii="Calibri" w:cs="Calibri" w:eastAsia="Calibri" w:hAnsi="Calibri"/>
          <w:color w:val="1F2933"/>
          <w:sz w:val="18"/>
          <w:szCs w:val="18"/>
        </w:rPr>
        <w:t xml:space="preserve">— </w:t>
      </w:r>
      <w:r>
        <w:rPr>
          <w:rFonts w:ascii="Calibri" w:cs="Calibri" w:eastAsia="Calibri" w:hAnsi="Calibri"/>
          <w:color w:val="1F2933"/>
          <w:sz w:val="18"/>
          <w:szCs w:val="18"/>
        </w:rPr>
        <w:t xml:space="preserve">Le bilan SC5 − (SC1 + SC2 + SC3 + SC4) est calculé et affiché, et son écart de bouclage est documenté et expliqué.</w:t>
      </w:r>
    </w:p>
    <w:p>
      <w:pPr>
        <w:spacing w:after="60" w:line="235"/>
        <w:ind w:left="200" w:hanging="160"/>
      </w:pPr>
      <w:r>
        <w:rPr>
          <w:rFonts w:ascii="Calibri" w:cs="Calibri" w:eastAsia="Calibri" w:hAnsi="Calibri"/>
          <w:color w:val="1F2933"/>
          <w:sz w:val="18"/>
          <w:szCs w:val="18"/>
        </w:rPr>
        <w:t xml:space="preserve">— </w:t>
      </w:r>
      <w:r>
        <w:rPr>
          <w:rFonts w:ascii="Calibri" w:cs="Calibri" w:eastAsia="Calibri" w:hAnsi="Calibri"/>
          <w:color w:val="1F2933"/>
          <w:sz w:val="18"/>
          <w:szCs w:val="18"/>
        </w:rPr>
        <w:t xml:space="preserve">Les paramètres des nœuds sont modifiables à distance depuis ChirpStack.</w:t>
      </w:r>
    </w:p>
    <w:p>
      <w:pPr>
        <w:spacing w:after="60" w:line="235"/>
        <w:ind w:left="200" w:hanging="160"/>
      </w:pPr>
      <w:r>
        <w:rPr>
          <w:rFonts w:ascii="Calibri" w:cs="Calibri" w:eastAsia="Calibri" w:hAnsi="Calibri"/>
          <w:color w:val="1F2933"/>
          <w:sz w:val="18"/>
          <w:szCs w:val="18"/>
        </w:rPr>
        <w:t xml:space="preserve">— </w:t>
      </w:r>
      <w:r>
        <w:rPr>
          <w:rFonts w:ascii="Calibri" w:cs="Calibri" w:eastAsia="Calibri" w:hAnsi="Calibri"/>
          <w:color w:val="1F2933"/>
          <w:sz w:val="18"/>
          <w:szCs w:val="18"/>
        </w:rPr>
        <w:t xml:space="preserve">La procédure d'installation est documentée de façon à pouvoir être reproduite sur un autre site, conformément à l'objectif du projet DAISI.</w:t>
      </w:r>
    </w:p>
    <w:p>
      <w:pPr>
        <w:pBdr>
          <w:bottom w:val="single" w:color="C3CED4" w:sz="6" w:space="2"/>
        </w:pBdr>
        <w:spacing w:after="90" w:before="200"/>
      </w:pPr>
      <w:r>
        <w:rPr>
          <w:rFonts w:ascii="Calibri" w:cs="Calibri" w:eastAsia="Calibri" w:hAnsi="Calibri"/>
          <w:b/>
          <w:bCs/>
          <w:color w:val="0B5563"/>
          <w:sz w:val="21"/>
          <w:szCs w:val="21"/>
        </w:rPr>
        <w:t xml:space="preserve">8.  Validation</w:t>
      </w:r>
    </w:p>
    <w:p>
      <w:pPr>
        <w:spacing w:after="80" w:line="240"/>
      </w:pPr>
      <w:r>
        <w:rPr>
          <w:rFonts w:ascii="Calibri" w:cs="Calibri" w:eastAsia="Calibri" w:hAnsi="Calibri"/>
          <w:color w:val="1F2933"/>
          <w:sz w:val="18"/>
          <w:szCs w:val="18"/>
        </w:rPr>
        <w:t xml:space="preserve">Le présent document restitue le cadrage donné oralement par les encadrants. Il appelle deux corrections, soumises à validation : le calcul du résidu ne porte que sur les quatre sous-compteurs de zone, SC5 étant l'arrivée générale ; et ce résidu agrège les fuites du réseau, ce pour quoi il n'est pas désigné comme la consommation des toilettes.</w:t>
      </w:r>
    </w:p>
    <w:p>
      <w:pPr>
        <w:spacing w:after="100"/>
      </w:pPr>
    </w:p>
    <w:tbl>
      <w:tblPr>
        <w:tblW w:type="dxa" w:w="9746"/>
        <w:tblBorders>
          <w:top w:val="single" w:color="C3CED4" w:sz="2"/>
          <w:left w:val="none"/>
          <w:bottom w:val="single" w:color="C3CED4" w:sz="2"/>
          <w:right w:val="none"/>
          <w:insideH w:val="single" w:color="D9E1E5" w:sz="2"/>
          <w:insideV w:val="none"/>
        </w:tblBorders>
      </w:tblPr>
      <w:tblGrid>
        <w:gridCol w:w="2400"/>
        <w:gridCol w:w="2900"/>
        <w:gridCol w:w="2200"/>
        <w:gridCol w:w="2246"/>
      </w:tblGrid>
      <w:tr>
        <w:trPr>
          <w:tblHeader/>
        </w:trPr>
        <w:tc>
          <w:tcPr>
            <w:tcW w:type="dxa" w:w="240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Rôle</w:t>
            </w:r>
          </w:p>
        </w:tc>
        <w:tc>
          <w:tcPr>
            <w:tcW w:type="dxa" w:w="290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Nom</w:t>
            </w:r>
          </w:p>
        </w:tc>
        <w:tc>
          <w:tcPr>
            <w:tcW w:type="dxa" w:w="2200"/>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Date</w:t>
            </w:r>
          </w:p>
        </w:tc>
        <w:tc>
          <w:tcPr>
            <w:tcW w:type="dxa" w:w="2246"/>
            <w:shd w:fill="0B5563" w:val="clear"/>
            <w:tcMar>
              <w:top w:type="dxa" w:w="55"/>
              <w:left w:type="dxa" w:w="90"/>
              <w:bottom w:type="dxa" w:w="55"/>
              <w:right w:type="dxa" w:w="90"/>
            </w:tcMar>
          </w:tcPr>
          <w:p>
            <w:pPr>
              <w:spacing w:after="0" w:line="230"/>
            </w:pPr>
            <w:r>
              <w:rPr>
                <w:rFonts w:ascii="Calibri" w:cs="Calibri" w:eastAsia="Calibri" w:hAnsi="Calibri"/>
                <w:b/>
                <w:bCs/>
                <w:color w:val="FFFFFF"/>
                <w:sz w:val="17"/>
                <w:szCs w:val="17"/>
              </w:rPr>
              <w:t xml:space="preserve">Visa</w:t>
            </w:r>
          </w:p>
        </w:tc>
      </w:tr>
      <w:tr>
        <w:trPr>
          <w:trHeight w:val="620" w:hRule="atLeast"/>
        </w:trPr>
        <w:tc>
          <w:tcPr>
            <w:tcW w:type="dxa" w:w="2400"/>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Rédigé par</w:t>
            </w:r>
          </w:p>
        </w:tc>
        <w:tc>
          <w:tcPr>
            <w:tcW w:type="dxa" w:w="29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c>
          <w:tcPr>
            <w:tcW w:type="dxa" w:w="22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c>
          <w:tcPr>
            <w:tcW w:type="dxa" w:w="2246"/>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r>
      <w:tr>
        <w:trPr>
          <w:trHeight w:val="620" w:hRule="atLeast"/>
        </w:trPr>
        <w:tc>
          <w:tcPr>
            <w:tcW w:type="dxa" w:w="2400"/>
            <w:shd w:fill="EDF2F4" w:val="clear"/>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Vérifié par</w:t>
            </w:r>
          </w:p>
        </w:tc>
        <w:tc>
          <w:tcPr>
            <w:tcW w:type="dxa" w:w="29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c>
          <w:tcPr>
            <w:tcW w:type="dxa" w:w="22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c>
          <w:tcPr>
            <w:tcW w:type="dxa" w:w="22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r>
      <w:tr>
        <w:trPr>
          <w:trHeight w:val="620" w:hRule="atLeast"/>
        </w:trPr>
        <w:tc>
          <w:tcPr>
            <w:tcW w:type="dxa" w:w="2400"/>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Approuvé par</w:t>
            </w:r>
          </w:p>
        </w:tc>
        <w:tc>
          <w:tcPr>
            <w:tcW w:type="dxa" w:w="29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Ivan Martinez</w:t>
            </w:r>
          </w:p>
        </w:tc>
        <w:tc>
          <w:tcPr>
            <w:tcW w:type="dxa" w:w="2200"/>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c>
          <w:tcPr>
            <w:tcW w:type="dxa" w:w="2246"/>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r>
      <w:tr>
        <w:trPr>
          <w:trHeight w:val="620" w:hRule="atLeast"/>
        </w:trPr>
        <w:tc>
          <w:tcPr>
            <w:tcW w:type="dxa" w:w="2400"/>
            <w:shd w:fill="EDF2F4" w:val="clear"/>
            <w:tcMar>
              <w:top w:type="dxa" w:w="55"/>
              <w:left w:type="dxa" w:w="90"/>
              <w:bottom w:type="dxa" w:w="55"/>
              <w:right w:type="dxa" w:w="90"/>
            </w:tcMar>
          </w:tcPr>
          <w:p>
            <w:pPr>
              <w:spacing w:after="0" w:line="230"/>
            </w:pPr>
            <w:r>
              <w:rPr>
                <w:rFonts w:ascii="Calibri" w:cs="Calibri" w:eastAsia="Calibri" w:hAnsi="Calibri"/>
                <w:b/>
                <w:bCs/>
                <w:color w:val="1F2933"/>
                <w:sz w:val="17"/>
                <w:szCs w:val="17"/>
              </w:rPr>
              <w:t xml:space="preserve">Approuvé par</w:t>
            </w:r>
          </w:p>
        </w:tc>
        <w:tc>
          <w:tcPr>
            <w:tcW w:type="dxa" w:w="29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Denys Boiteau</w:t>
            </w:r>
          </w:p>
        </w:tc>
        <w:tc>
          <w:tcPr>
            <w:tcW w:type="dxa" w:w="2200"/>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c>
          <w:tcPr>
            <w:tcW w:type="dxa" w:w="2246"/>
            <w:shd w:fill="EDF2F4" w:val="clear"/>
            <w:tcMar>
              <w:top w:type="dxa" w:w="55"/>
              <w:left w:type="dxa" w:w="90"/>
              <w:bottom w:type="dxa" w:w="55"/>
              <w:right w:type="dxa" w:w="90"/>
            </w:tcMar>
          </w:tcPr>
          <w:p>
            <w:pPr>
              <w:spacing w:after="0" w:line="230"/>
            </w:pPr>
            <w:r>
              <w:rPr>
                <w:rFonts w:ascii="Calibri" w:cs="Calibri" w:eastAsia="Calibri" w:hAnsi="Calibri"/>
                <w:b w:val="false"/>
                <w:bCs w:val="false"/>
                <w:color w:val="1F2933"/>
                <w:sz w:val="17"/>
                <w:szCs w:val="17"/>
              </w:rPr>
              <w:t xml:space="preserve"/>
            </w:r>
          </w:p>
        </w:tc>
      </w:tr>
    </w:tbl>
    <w:sectPr>
      <w:pgSz w:w="11906" w:h="16838" w:orient="portrait"/>
      <w:pgMar w:top="1008"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2026-09-14T09:38:48.896Z</dcterms:created>
  <dcterms:modified xsi:type="dcterms:W3CDTF">2026-09-14T09:38:48.896Z</dcterms:modified>
</cp:coreProperties>
</file>

<file path=docProps/custom.xml><?xml version="1.0" encoding="utf-8"?>
<Properties xmlns="http://schemas.openxmlformats.org/officeDocument/2006/custom-properties" xmlns:vt="http://schemas.openxmlformats.org/officeDocument/2006/docPropsVTypes"/>
</file>