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pPr>
      <w:r>
        <w:rPr>
          <w:rFonts w:ascii="Calibri" w:cs="Calibri" w:eastAsia="Calibri" w:hAnsi="Calibri"/>
          <w:b/>
          <w:bCs/>
          <w:i w:val="false"/>
          <w:iCs w:val="false"/>
          <w:caps/>
          <w:color w:val="5A6B78"/>
          <w:sz w:val="20"/>
          <w:szCs w:val="20"/>
        </w:rPr>
        <w:t xml:space="preserve">ECAM 5N — Promotion 2027</w:t>
      </w:r>
    </w:p>
    <w:p>
      <w:pPr>
        <w:pBdr>
          <w:bottom w:val="single" w:color="14507B" w:sz="6" w:space="6"/>
        </w:pBdr>
        <w:spacing w:after="40"/>
      </w:pPr>
      <w:r>
        <w:rPr>
          <w:rFonts w:ascii="Calibri" w:cs="Calibri" w:eastAsia="Calibri" w:hAnsi="Calibri"/>
          <w:b w:val="false"/>
          <w:bCs w:val="false"/>
          <w:i w:val="false"/>
          <w:iCs w:val="false"/>
          <w:caps w:val="false"/>
          <w:color w:val="5A6B78"/>
          <w:sz w:val="20"/>
          <w:szCs w:val="20"/>
        </w:rPr>
        <w:t xml:space="preserve">Projet encadré · Cybersécurité industrielle</w:t>
      </w:r>
    </w:p>
    <w:p>
      <w:pPr>
        <w:spacing w:after="120" w:before="260"/>
      </w:pPr>
      <w:r>
        <w:rPr>
          <w:rFonts w:ascii="Cambria" w:cs="Cambria" w:eastAsia="Cambria" w:hAnsi="Cambria"/>
          <w:b/>
          <w:bCs/>
          <w:i w:val="false"/>
          <w:iCs w:val="false"/>
          <w:caps w:val="false"/>
          <w:color w:val="1B2733"/>
          <w:sz w:val="52"/>
          <w:szCs w:val="52"/>
        </w:rPr>
        <w:t xml:space="preserve">Sécurisation de l'usine GRFICS</w:t>
      </w:r>
    </w:p>
    <w:p>
      <w:pPr>
        <w:spacing w:after="400"/>
      </w:pPr>
      <w:r>
        <w:rPr>
          <w:rFonts w:ascii="Cambria" w:cs="Cambria" w:eastAsia="Cambria" w:hAnsi="Cambria"/>
          <w:b w:val="false"/>
          <w:bCs w:val="false"/>
          <w:i/>
          <w:iCs/>
          <w:caps w:val="false"/>
          <w:color w:val="33475B"/>
          <w:sz w:val="26"/>
          <w:szCs w:val="26"/>
        </w:rPr>
        <w:t xml:space="preserve">Analyse des vulnérabilités exploitées en travaux pratiques, architecture cible, correctifs priorisés selon les niveaux de sécurité de l'IEC 62443 et plan de contingence.</w:t>
      </w:r>
    </w:p>
    <w:tbl>
      <w:tblPr>
        <w:tblW w:type="dxa" w:w="9600"/>
        <w:tblBorders>
          <w:top w:val="single" w:color="C7D0D8" w:sz="2"/>
          <w:left w:val="single" w:color="C7D0D8" w:sz="2"/>
          <w:bottom w:val="single" w:color="C7D0D8" w:sz="2"/>
          <w:right w:val="single" w:color="C7D0D8" w:sz="2"/>
          <w:insideH w:val="single" w:color="C7D0D8" w:sz="2"/>
          <w:insideV w:val="single" w:color="C7D0D8" w:sz="2"/>
        </w:tblBorders>
      </w:tblPr>
      <w:tblGrid>
        <w:gridCol w:w="2900"/>
        <w:gridCol w:w="6700"/>
      </w:tblGrid>
      <w:tr>
        <w:tc>
          <w:tcPr>
            <w:tcW w:type="dxa" w:w="2900"/>
            <w:shd w:fill="E7EEF4"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18"/>
                <w:szCs w:val="18"/>
              </w:rPr>
              <w:t xml:space="preserve">Installation</w:t>
            </w:r>
          </w:p>
        </w:tc>
        <w:tc>
          <w:tcPr>
            <w:tcW w:type="dxa" w:w="67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Réacteur chimique — environnement GRFICSv3 (Fortiphyd Logic)</w:t>
            </w:r>
          </w:p>
        </w:tc>
      </w:tr>
      <w:tr>
        <w:tc>
          <w:tcPr>
            <w:tcW w:type="dxa" w:w="2900"/>
            <w:shd w:fill="E7EEF4"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18"/>
                <w:szCs w:val="18"/>
              </w:rPr>
              <w:t xml:space="preserve">Périmètre</w:t>
            </w:r>
          </w:p>
        </w:tc>
        <w:tc>
          <w:tcPr>
            <w:tcW w:type="dxa" w:w="67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Zone ICS 192.168.95.0/24 · Zone DMZ 192.168.90.0/24</w:t>
            </w:r>
          </w:p>
        </w:tc>
      </w:tr>
      <w:tr>
        <w:tc>
          <w:tcPr>
            <w:tcW w:type="dxa" w:w="2900"/>
            <w:shd w:fill="E7EEF4"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18"/>
                <w:szCs w:val="18"/>
              </w:rPr>
              <w:t xml:space="preserve">Référentiels</w:t>
            </w:r>
          </w:p>
        </w:tc>
        <w:tc>
          <w:tcPr>
            <w:tcW w:type="dxa" w:w="67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IEC 62443-3-2 / 62443-3-3 · IEC 61511 (SIL) · MITRE ATT&amp;CK for ICS</w:t>
            </w:r>
          </w:p>
        </w:tc>
      </w:tr>
      <w:tr>
        <w:tc>
          <w:tcPr>
            <w:tcW w:type="dxa" w:w="2900"/>
            <w:shd w:fill="E7EEF4"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18"/>
                <w:szCs w:val="18"/>
              </w:rPr>
              <w:t xml:space="preserve">Coût d'indisponibilité</w:t>
            </w:r>
          </w:p>
        </w:tc>
        <w:tc>
          <w:tcPr>
            <w:tcW w:type="dxa" w:w="67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6 500 € par heure d'arrêt de production</w:t>
            </w:r>
          </w:p>
        </w:tc>
      </w:tr>
      <w:tr>
        <w:tc>
          <w:tcPr>
            <w:tcW w:type="dxa" w:w="2900"/>
            <w:shd w:fill="E7EEF4"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18"/>
                <w:szCs w:val="18"/>
              </w:rPr>
              <w:t xml:space="preserve">Auteurs</w:t>
            </w:r>
          </w:p>
        </w:tc>
        <w:tc>
          <w:tcPr>
            <w:tcW w:type="dxa" w:w="67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Thiboult · Grot · Gledel · Idigov</w:t>
            </w:r>
          </w:p>
        </w:tc>
      </w:tr>
    </w:tbl>
    <w:p>
      <w:pPr>
        <w:spacing w:before="500"/>
      </w:pPr>
      <w:r>
        <w:rPr>
          <w:rFonts w:ascii="Calibri" w:cs="Calibri" w:eastAsia="Calibri" w:hAnsi="Calibri"/>
          <w:b/>
          <w:bCs/>
          <w:i w:val="false"/>
          <w:iCs w:val="false"/>
          <w:caps w:val="false"/>
          <w:color w:val="9E2A2A"/>
          <w:sz w:val="20"/>
          <w:szCs w:val="20"/>
        </w:rPr>
        <w:t xml:space="preserve">Point de départ : à l'issue du TP d'attaque, l'état final du réacteur était l'EXPLOSION.</w:t>
      </w:r>
    </w:p>
    <w:p>
      <w:r>
        <w:br w:type="page"/>
      </w:r>
    </w:p>
    <w:p>
      <w:pPr>
        <w:pStyle w:val="Heading1"/>
        <w:keepNext/>
        <w:spacing w:after="140" w:before="320"/>
      </w:pPr>
      <w:r>
        <w:rPr>
          <w:rFonts w:ascii="Cambria" w:cs="Cambria" w:eastAsia="Cambria" w:hAnsi="Cambria"/>
          <w:b/>
          <w:bCs/>
          <w:color w:val="14507B"/>
          <w:sz w:val="30"/>
          <w:szCs w:val="30"/>
        </w:rPr>
        <w:t xml:space="preserve">§1   </w:t>
      </w:r>
      <w:r>
        <w:rPr>
          <w:rFonts w:ascii="Cambria" w:cs="Cambria" w:eastAsia="Cambria" w:hAnsi="Cambria"/>
          <w:b/>
          <w:bCs/>
          <w:color w:val="1B2733"/>
          <w:sz w:val="30"/>
          <w:szCs w:val="30"/>
        </w:rPr>
        <w:t xml:space="preserve">Contexte et méthode</w:t>
      </w:r>
    </w:p>
    <w:p>
      <w:pPr>
        <w:spacing w:after="120" w:before="0" w:line="276"/>
      </w:pPr>
      <w:r>
        <w:rPr>
          <w:rFonts w:ascii="Calibri" w:cs="Calibri" w:eastAsia="Calibri" w:hAnsi="Calibri"/>
          <w:b w:val="false"/>
          <w:bCs w:val="false"/>
          <w:i w:val="false"/>
          <w:iCs w:val="false"/>
          <w:caps w:val="false"/>
          <w:color w:val="1B2733"/>
          <w:sz w:val="21"/>
          <w:szCs w:val="21"/>
        </w:rPr>
        <w:t xml:space="preserve">L'installation a été compromise en conditions d'exercice, jusqu'à l'explosion du réacteur. Le mode opératoire, rejoué pas à pas au TP, n'a exigé ni faille logicielle inédite, ni compétence rare : reconnaissance physique des lieux, mots de passe ramassés sur place, interception réseau, puis réécriture de la logique de l'automate. Le présent dossier part de cette intrusion pour établir ce qui doit être corrigé, dans quel ordre, à quel coût, et comment l'usine réagit si l'incident se reproduit.</w:t>
      </w:r>
    </w:p>
    <w:p>
      <w:pPr>
        <w:pStyle w:val="Heading2"/>
        <w:keepNext/>
        <w:spacing w:after="100" w:before="220"/>
      </w:pPr>
      <w:r>
        <w:rPr>
          <w:rFonts w:ascii="Calibri" w:cs="Calibri" w:eastAsia="Calibri" w:hAnsi="Calibri"/>
          <w:b/>
          <w:bCs/>
          <w:color w:val="33475B"/>
          <w:sz w:val="24"/>
          <w:szCs w:val="24"/>
        </w:rPr>
        <w:t xml:space="preserve">Chaîne d'attaque reconstituée (compte-rendu de TP)</w:t>
      </w:r>
    </w:p>
    <w:p>
      <w:pPr>
        <w:pStyle w:val="ListParagraph"/>
        <w:numPr>
          <w:ilvl w:val="0"/>
          <w:numId w:val="2"/>
        </w:numPr>
        <w:spacing w:after="60" w:line="270"/>
      </w:pPr>
      <w:r>
        <w:rPr>
          <w:rFonts w:ascii="Calibri" w:cs="Calibri" w:eastAsia="Calibri" w:hAnsi="Calibri"/>
          <w:b/>
          <w:bCs/>
          <w:i w:val="false"/>
          <w:iCs w:val="false"/>
          <w:caps w:val="false"/>
          <w:color w:val="1B2733"/>
          <w:sz w:val="21"/>
          <w:szCs w:val="21"/>
        </w:rPr>
        <w:t xml:space="preserve">Reconnaissance physique — </w:t>
      </w:r>
      <w:r>
        <w:rPr>
          <w:rFonts w:ascii="Calibri" w:cs="Calibri" w:eastAsia="Calibri" w:hAnsi="Calibri"/>
          <w:b w:val="false"/>
          <w:bCs w:val="false"/>
          <w:i w:val="false"/>
          <w:iCs w:val="false"/>
          <w:caps w:val="false"/>
          <w:color w:val="1B2733"/>
          <w:sz w:val="21"/>
          <w:szCs w:val="21"/>
        </w:rPr>
        <w:t xml:space="preserve">badge d'accès et porte mal fermée, secrets récupérés dans une poubelle, panneau IHM utilisable sans authentification, armoire électrique ouverte, routeur personnel branché sur le réseau. Mots de passe obtenus : poste d'ingénierie (rangée basse du clavier), compte </w:t>
      </w:r>
      <w:r>
        <w:rPr>
          <w:rFonts w:ascii="Consolas" w:cs="Consolas" w:eastAsia="Consolas" w:hAnsi="Consolas"/>
          <w:color w:val="14507B"/>
          <w:sz w:val="19"/>
          <w:szCs w:val="19"/>
        </w:rPr>
        <w:t xml:space="preserve">admin</w:t>
      </w:r>
      <w:r>
        <w:rPr>
          <w:rFonts w:ascii="Calibri" w:cs="Calibri" w:eastAsia="Calibri" w:hAnsi="Calibri"/>
          <w:b w:val="false"/>
          <w:bCs w:val="false"/>
          <w:i w:val="false"/>
          <w:iCs w:val="false"/>
          <w:caps w:val="false"/>
          <w:color w:val="1B2733"/>
          <w:sz w:val="21"/>
          <w:szCs w:val="21"/>
        </w:rPr>
        <w:t xml:space="preserve"> de l'automate, mot de passe du routeur sur un post-it.</w:t>
      </w:r>
    </w:p>
    <w:p>
      <w:pPr>
        <w:pStyle w:val="ListParagraph"/>
        <w:numPr>
          <w:ilvl w:val="0"/>
          <w:numId w:val="2"/>
        </w:numPr>
        <w:spacing w:after="60" w:line="270"/>
      </w:pPr>
      <w:r>
        <w:rPr>
          <w:rFonts w:ascii="Calibri" w:cs="Calibri" w:eastAsia="Calibri" w:hAnsi="Calibri"/>
          <w:b/>
          <w:bCs/>
          <w:i w:val="false"/>
          <w:iCs w:val="false"/>
          <w:caps w:val="false"/>
          <w:color w:val="1B2733"/>
          <w:sz w:val="21"/>
          <w:szCs w:val="21"/>
        </w:rPr>
        <w:t xml:space="preserve">Découverte réseau — </w:t>
      </w:r>
      <w:r>
        <w:rPr>
          <w:rFonts w:ascii="Calibri" w:cs="Calibri" w:eastAsia="Calibri" w:hAnsi="Calibri"/>
          <w:b w:val="false"/>
          <w:bCs w:val="false"/>
          <w:i w:val="false"/>
          <w:iCs w:val="false"/>
          <w:caps w:val="false"/>
          <w:color w:val="1B2733"/>
          <w:sz w:val="21"/>
          <w:szCs w:val="21"/>
        </w:rPr>
        <w:t xml:space="preserve">depuis le poste attaquant </w:t>
      </w:r>
      <w:r>
        <w:rPr>
          <w:rFonts w:ascii="Consolas" w:cs="Consolas" w:eastAsia="Consolas" w:hAnsi="Consolas"/>
          <w:color w:val="14507B"/>
          <w:sz w:val="19"/>
          <w:szCs w:val="19"/>
        </w:rPr>
        <w:t xml:space="preserve">192.168.90.6</w:t>
      </w:r>
      <w:r>
        <w:rPr>
          <w:rFonts w:ascii="Calibri" w:cs="Calibri" w:eastAsia="Calibri" w:hAnsi="Calibri"/>
          <w:b w:val="false"/>
          <w:bCs w:val="false"/>
          <w:i w:val="false"/>
          <w:iCs w:val="false"/>
          <w:caps w:val="false"/>
          <w:color w:val="1B2733"/>
          <w:sz w:val="21"/>
          <w:szCs w:val="21"/>
        </w:rPr>
        <w:t xml:space="preserve">, balayage </w:t>
      </w:r>
      <w:r>
        <w:rPr>
          <w:rFonts w:ascii="Consolas" w:cs="Consolas" w:eastAsia="Consolas" w:hAnsi="Consolas"/>
          <w:color w:val="14507B"/>
          <w:sz w:val="19"/>
          <w:szCs w:val="19"/>
        </w:rPr>
        <w:t xml:space="preserve">nmap</w:t>
      </w:r>
      <w:r>
        <w:rPr>
          <w:rFonts w:ascii="Calibri" w:cs="Calibri" w:eastAsia="Calibri" w:hAnsi="Calibri"/>
          <w:b w:val="false"/>
          <w:bCs w:val="false"/>
          <w:i w:val="false"/>
          <w:iCs w:val="false"/>
          <w:caps w:val="false"/>
          <w:color w:val="1B2733"/>
          <w:sz w:val="21"/>
          <w:szCs w:val="21"/>
        </w:rPr>
        <w:t xml:space="preserve"> : IHM en </w:t>
      </w:r>
      <w:r>
        <w:rPr>
          <w:rFonts w:ascii="Consolas" w:cs="Consolas" w:eastAsia="Consolas" w:hAnsi="Consolas"/>
          <w:color w:val="14507B"/>
          <w:sz w:val="19"/>
          <w:szCs w:val="19"/>
        </w:rPr>
        <w:t xml:space="preserve">90.107:8080</w:t>
      </w:r>
      <w:r>
        <w:rPr>
          <w:rFonts w:ascii="Calibri" w:cs="Calibri" w:eastAsia="Calibri" w:hAnsi="Calibri"/>
          <w:b w:val="false"/>
          <w:bCs w:val="false"/>
          <w:i w:val="false"/>
          <w:iCs w:val="false"/>
          <w:caps w:val="false"/>
          <w:color w:val="1B2733"/>
          <w:sz w:val="21"/>
          <w:szCs w:val="21"/>
        </w:rPr>
        <w:t xml:space="preserve">, routeur et interface d'administration.</w:t>
      </w:r>
    </w:p>
    <w:p>
      <w:pPr>
        <w:pStyle w:val="ListParagraph"/>
        <w:numPr>
          <w:ilvl w:val="0"/>
          <w:numId w:val="2"/>
        </w:numPr>
        <w:spacing w:after="60" w:line="270"/>
      </w:pPr>
      <w:r>
        <w:rPr>
          <w:rFonts w:ascii="Calibri" w:cs="Calibri" w:eastAsia="Calibri" w:hAnsi="Calibri"/>
          <w:b/>
          <w:bCs/>
          <w:i w:val="false"/>
          <w:iCs w:val="false"/>
          <w:caps w:val="false"/>
          <w:color w:val="1B2733"/>
          <w:sz w:val="21"/>
          <w:szCs w:val="21"/>
        </w:rPr>
        <w:t xml:space="preserve">Homme du milieu — </w:t>
      </w:r>
      <w:r>
        <w:rPr>
          <w:rFonts w:ascii="Consolas" w:cs="Consolas" w:eastAsia="Consolas" w:hAnsi="Consolas"/>
          <w:color w:val="14507B"/>
          <w:sz w:val="19"/>
          <w:szCs w:val="19"/>
        </w:rPr>
        <w:t xml:space="preserve">arpspoof</w:t>
      </w:r>
      <w:r>
        <w:rPr>
          <w:rFonts w:ascii="Calibri" w:cs="Calibri" w:eastAsia="Calibri" w:hAnsi="Calibri"/>
          <w:b w:val="false"/>
          <w:bCs w:val="false"/>
          <w:i w:val="false"/>
          <w:iCs w:val="false"/>
          <w:caps w:val="false"/>
          <w:color w:val="1B2733"/>
          <w:sz w:val="21"/>
          <w:szCs w:val="21"/>
        </w:rPr>
        <w:t xml:space="preserve"> entre l'IHM (</w:t>
      </w:r>
      <w:r>
        <w:rPr>
          <w:rFonts w:ascii="Consolas" w:cs="Consolas" w:eastAsia="Consolas" w:hAnsi="Consolas"/>
          <w:color w:val="14507B"/>
          <w:sz w:val="19"/>
          <w:szCs w:val="19"/>
        </w:rPr>
        <w:t xml:space="preserve">90.107</w:t>
      </w:r>
      <w:r>
        <w:rPr>
          <w:rFonts w:ascii="Calibri" w:cs="Calibri" w:eastAsia="Calibri" w:hAnsi="Calibri"/>
          <w:b w:val="false"/>
          <w:bCs w:val="false"/>
          <w:i w:val="false"/>
          <w:iCs w:val="false"/>
          <w:caps w:val="false"/>
          <w:color w:val="1B2733"/>
          <w:sz w:val="21"/>
          <w:szCs w:val="21"/>
        </w:rPr>
        <w:t xml:space="preserve">) et l'automate (</w:t>
      </w:r>
      <w:r>
        <w:rPr>
          <w:rFonts w:ascii="Consolas" w:cs="Consolas" w:eastAsia="Consolas" w:hAnsi="Consolas"/>
          <w:color w:val="14507B"/>
          <w:sz w:val="19"/>
          <w:szCs w:val="19"/>
        </w:rPr>
        <w:t xml:space="preserve">95.2</w:t>
      </w:r>
      <w:r>
        <w:rPr>
          <w:rFonts w:ascii="Calibri" w:cs="Calibri" w:eastAsia="Calibri" w:hAnsi="Calibri"/>
          <w:b w:val="false"/>
          <w:bCs w:val="false"/>
          <w:i w:val="false"/>
          <w:iCs w:val="false"/>
          <w:caps w:val="false"/>
          <w:color w:val="1B2733"/>
          <w:sz w:val="21"/>
          <w:szCs w:val="21"/>
        </w:rPr>
        <w:t xml:space="preserve">), </w:t>
      </w:r>
      <w:r>
        <w:rPr>
          <w:rFonts w:ascii="Consolas" w:cs="Consolas" w:eastAsia="Consolas" w:hAnsi="Consolas"/>
          <w:color w:val="14507B"/>
          <w:sz w:val="19"/>
          <w:szCs w:val="19"/>
        </w:rPr>
        <w:t xml:space="preserve">ip_forward</w:t>
      </w:r>
      <w:r>
        <w:rPr>
          <w:rFonts w:ascii="Calibri" w:cs="Calibri" w:eastAsia="Calibri" w:hAnsi="Calibri"/>
          <w:b w:val="false"/>
          <w:bCs w:val="false"/>
          <w:i w:val="false"/>
          <w:iCs w:val="false"/>
          <w:caps w:val="false"/>
          <w:color w:val="1B2733"/>
          <w:sz w:val="21"/>
          <w:szCs w:val="21"/>
        </w:rPr>
        <w:t xml:space="preserve"> activé ; capture Wireshark des trames Modbus en clair, révélant le sous-réseau procédé </w:t>
      </w:r>
      <w:r>
        <w:rPr>
          <w:rFonts w:ascii="Consolas" w:cs="Consolas" w:eastAsia="Consolas" w:hAnsi="Consolas"/>
          <w:color w:val="14507B"/>
          <w:sz w:val="19"/>
          <w:szCs w:val="19"/>
        </w:rPr>
        <w:t xml:space="preserve">192.168.95.0/24</w:t>
      </w:r>
      <w:r>
        <w:rPr>
          <w:rFonts w:ascii="Calibri" w:cs="Calibri" w:eastAsia="Calibri" w:hAnsi="Calibri"/>
          <w:b w:val="false"/>
          <w:bCs w:val="false"/>
          <w:i w:val="false"/>
          <w:iCs w:val="false"/>
          <w:caps w:val="false"/>
          <w:color w:val="1B2733"/>
          <w:sz w:val="21"/>
          <w:szCs w:val="21"/>
        </w:rPr>
        <w:t xml:space="preserve">.</w:t>
      </w:r>
    </w:p>
    <w:p>
      <w:pPr>
        <w:pStyle w:val="ListParagraph"/>
        <w:numPr>
          <w:ilvl w:val="0"/>
          <w:numId w:val="2"/>
        </w:numPr>
        <w:spacing w:after="60" w:line="270"/>
      </w:pPr>
      <w:r>
        <w:rPr>
          <w:rFonts w:ascii="Calibri" w:cs="Calibri" w:eastAsia="Calibri" w:hAnsi="Calibri"/>
          <w:b/>
          <w:bCs/>
          <w:i w:val="false"/>
          <w:iCs w:val="false"/>
          <w:caps w:val="false"/>
          <w:color w:val="1B2733"/>
          <w:sz w:val="21"/>
          <w:szCs w:val="21"/>
        </w:rPr>
        <w:t xml:space="preserve">Cartographie du procédé — </w:t>
      </w:r>
      <w:r>
        <w:rPr>
          <w:rFonts w:ascii="Consolas" w:cs="Consolas" w:eastAsia="Consolas" w:hAnsi="Consolas"/>
          <w:color w:val="14507B"/>
          <w:sz w:val="19"/>
          <w:szCs w:val="19"/>
        </w:rPr>
        <w:t xml:space="preserve">nmap -p 502</w:t>
      </w:r>
      <w:r>
        <w:rPr>
          <w:rFonts w:ascii="Calibri" w:cs="Calibri" w:eastAsia="Calibri" w:hAnsi="Calibri"/>
          <w:b w:val="false"/>
          <w:bCs w:val="false"/>
          <w:i w:val="false"/>
          <w:iCs w:val="false"/>
          <w:caps w:val="false"/>
          <w:color w:val="1B2733"/>
          <w:sz w:val="21"/>
          <w:szCs w:val="21"/>
        </w:rPr>
        <w:t xml:space="preserve"> : six esclaves Modbus (Feed 1/2, Purge, Product, </w:t>
      </w:r>
      <w:r>
        <w:rPr>
          <w:rFonts w:ascii="Calibri" w:cs="Calibri" w:eastAsia="Calibri" w:hAnsi="Calibri"/>
          <w:b/>
          <w:bCs/>
          <w:i w:val="false"/>
          <w:iCs w:val="false"/>
          <w:caps w:val="false"/>
          <w:color w:val="1B2733"/>
          <w:sz w:val="21"/>
          <w:szCs w:val="21"/>
        </w:rPr>
        <w:t xml:space="preserve">réacteur .95.14</w:t>
      </w:r>
      <w:r>
        <w:rPr>
          <w:rFonts w:ascii="Calibri" w:cs="Calibri" w:eastAsia="Calibri" w:hAnsi="Calibri"/>
          <w:b w:val="false"/>
          <w:bCs w:val="false"/>
          <w:i w:val="false"/>
          <w:iCs w:val="false"/>
          <w:caps w:val="false"/>
          <w:color w:val="1B2733"/>
          <w:sz w:val="21"/>
          <w:szCs w:val="21"/>
        </w:rPr>
        <w:t xml:space="preserve">, Analyzer) ; bannières relevées avec le module Metasploit </w:t>
      </w:r>
      <w:r>
        <w:rPr>
          <w:rFonts w:ascii="Consolas" w:cs="Consolas" w:eastAsia="Consolas" w:hAnsi="Consolas"/>
          <w:color w:val="14507B"/>
          <w:sz w:val="19"/>
          <w:szCs w:val="19"/>
        </w:rPr>
        <w:t xml:space="preserve">modbus_banner_grabbing</w:t>
      </w:r>
      <w:r>
        <w:rPr>
          <w:rFonts w:ascii="Calibri" w:cs="Calibri" w:eastAsia="Calibri" w:hAnsi="Calibri"/>
          <w:b w:val="false"/>
          <w:bCs w:val="false"/>
          <w:i w:val="false"/>
          <w:iCs w:val="false"/>
          <w:caps w:val="false"/>
          <w:color w:val="1B2733"/>
          <w:sz w:val="21"/>
          <w:szCs w:val="21"/>
        </w:rPr>
        <w:t xml:space="preserve">.</w:t>
      </w:r>
    </w:p>
    <w:p>
      <w:pPr>
        <w:pStyle w:val="ListParagraph"/>
        <w:numPr>
          <w:ilvl w:val="0"/>
          <w:numId w:val="2"/>
        </w:numPr>
        <w:spacing w:after="60" w:line="270"/>
      </w:pPr>
      <w:r>
        <w:rPr>
          <w:rFonts w:ascii="Calibri" w:cs="Calibri" w:eastAsia="Calibri" w:hAnsi="Calibri"/>
          <w:b/>
          <w:bCs/>
          <w:i w:val="false"/>
          <w:iCs w:val="false"/>
          <w:caps w:val="false"/>
          <w:color w:val="1B2733"/>
          <w:sz w:val="21"/>
          <w:szCs w:val="21"/>
        </w:rPr>
        <w:t xml:space="preserve">Prise de l'automate — </w:t>
      </w:r>
      <w:r>
        <w:rPr>
          <w:rFonts w:ascii="Calibri" w:cs="Calibri" w:eastAsia="Calibri" w:hAnsi="Calibri"/>
          <w:b w:val="false"/>
          <w:bCs w:val="false"/>
          <w:i w:val="false"/>
          <w:iCs w:val="false"/>
          <w:caps w:val="false"/>
          <w:color w:val="1B2733"/>
          <w:sz w:val="21"/>
          <w:szCs w:val="21"/>
        </w:rPr>
        <w:t xml:space="preserve">accès noVNC du poste d'ingénierie (</w:t>
      </w:r>
      <w:r>
        <w:rPr>
          <w:rFonts w:ascii="Consolas" w:cs="Consolas" w:eastAsia="Consolas" w:hAnsi="Consolas"/>
          <w:color w:val="14507B"/>
          <w:sz w:val="19"/>
          <w:szCs w:val="19"/>
        </w:rPr>
        <w:t xml:space="preserve">95.5:6080</w:t>
      </w:r>
      <w:r>
        <w:rPr>
          <w:rFonts w:ascii="Calibri" w:cs="Calibri" w:eastAsia="Calibri" w:hAnsi="Calibri"/>
          <w:b w:val="false"/>
          <w:bCs w:val="false"/>
          <w:i w:val="false"/>
          <w:iCs w:val="false"/>
          <w:caps w:val="false"/>
          <w:color w:val="1B2733"/>
          <w:sz w:val="21"/>
          <w:szCs w:val="21"/>
        </w:rPr>
        <w:t xml:space="preserve">), ouverture du projet OpenPLC « chemical », injection de </w:t>
      </w:r>
      <w:r>
        <w:rPr>
          <w:rFonts w:ascii="Consolas" w:cs="Consolas" w:eastAsia="Consolas" w:hAnsi="Consolas"/>
          <w:color w:val="14507B"/>
          <w:sz w:val="19"/>
          <w:szCs w:val="19"/>
        </w:rPr>
        <w:t xml:space="preserve">pressure_sp := 65535;</w:t>
      </w:r>
      <w:r>
        <w:rPr>
          <w:rFonts w:ascii="Calibri" w:cs="Calibri" w:eastAsia="Calibri" w:hAnsi="Calibri"/>
          <w:b w:val="false"/>
          <w:bCs w:val="false"/>
          <w:i w:val="false"/>
          <w:iCs w:val="false"/>
          <w:caps w:val="false"/>
          <w:color w:val="1B2733"/>
          <w:sz w:val="21"/>
          <w:szCs w:val="21"/>
        </w:rPr>
        <w:t xml:space="preserve"> : la consigne de pression est saturée, la vanne de purge ne s'ouvre plus, la pression monte sans régulation. Téléversement via l'interface web, redémarrage → </w:t>
      </w:r>
      <w:r>
        <w:rPr>
          <w:rFonts w:ascii="Calibri" w:cs="Calibri" w:eastAsia="Calibri" w:hAnsi="Calibri"/>
          <w:b/>
          <w:bCs/>
          <w:i w:val="false"/>
          <w:iCs w:val="false"/>
          <w:caps w:val="false"/>
          <w:color w:val="9E2A2A"/>
          <w:sz w:val="21"/>
          <w:szCs w:val="21"/>
        </w:rPr>
        <w:t xml:space="preserve">explosion</w:t>
      </w:r>
      <w:r>
        <w:rPr>
          <w:rFonts w:ascii="Calibri" w:cs="Calibri" w:eastAsia="Calibri" w:hAnsi="Calibri"/>
          <w:b w:val="false"/>
          <w:bCs w:val="false"/>
          <w:i w:val="false"/>
          <w:iCs w:val="false"/>
          <w:caps w:val="false"/>
          <w:color w:val="1B2733"/>
          <w:sz w:val="21"/>
          <w:szCs w:val="21"/>
        </w:rPr>
        <w:t xml:space="preserve">.</w:t>
      </w:r>
    </w:p>
    <w:p>
      <w:pPr>
        <w:pStyle w:val="Heading2"/>
        <w:keepNext/>
        <w:spacing w:after="100" w:before="220"/>
      </w:pPr>
      <w:r>
        <w:rPr>
          <w:rFonts w:ascii="Calibri" w:cs="Calibri" w:eastAsia="Calibri" w:hAnsi="Calibri"/>
          <w:b/>
          <w:bCs/>
          <w:color w:val="33475B"/>
          <w:sz w:val="24"/>
          <w:szCs w:val="24"/>
        </w:rPr>
        <w:t xml:space="preserve">Rappel des niveaux de sécurité (IEC 62443)</w:t>
      </w:r>
    </w:p>
    <w:tbl>
      <w:tblPr>
        <w:tblW w:type="dxa" w:w="9600"/>
        <w:tblBorders>
          <w:top w:val="single" w:color="C7D0D8" w:sz="2"/>
          <w:left w:val="single" w:color="C7D0D8" w:sz="2"/>
          <w:bottom w:val="single" w:color="C7D0D8" w:sz="2"/>
          <w:right w:val="single" w:color="C7D0D8" w:sz="2"/>
          <w:insideH w:val="single" w:color="C7D0D8" w:sz="2"/>
          <w:insideV w:val="single" w:color="C7D0D8" w:sz="2"/>
        </w:tblBorders>
      </w:tblPr>
      <w:tblGrid>
        <w:gridCol w:w="1300"/>
        <w:gridCol w:w="8300"/>
      </w:tblGrid>
      <w:tr>
        <w:trPr>
          <w:tblHeader/>
        </w:trPr>
        <w:tc>
          <w:tcPr>
            <w:tcW w:type="dxa" w:w="13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Niveau</w:t>
            </w:r>
          </w:p>
        </w:tc>
        <w:tc>
          <w:tcPr>
            <w:tcW w:type="dxa" w:w="83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Définition — capacité de l'attaquant à contrer</w:t>
            </w:r>
          </w:p>
        </w:tc>
      </w:tr>
      <w:tr>
        <w:tc>
          <w:tcPr>
            <w:tcW w:type="dxa" w:w="13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21"/>
                <w:szCs w:val="21"/>
              </w:rPr>
              <w:t xml:space="preserve">SL 1</w:t>
            </w:r>
          </w:p>
        </w:tc>
        <w:tc>
          <w:tcPr>
            <w:tcW w:type="dxa" w:w="83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Protection contre une violation fortuite ou accidentelle.</w:t>
            </w:r>
          </w:p>
        </w:tc>
      </w:tr>
      <w:tr>
        <w:tc>
          <w:tcPr>
            <w:tcW w:type="dxa" w:w="13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21"/>
                <w:szCs w:val="21"/>
              </w:rPr>
              <w:t xml:space="preserve">SL 2</w:t>
            </w:r>
          </w:p>
        </w:tc>
        <w:tc>
          <w:tcPr>
            <w:tcW w:type="dxa" w:w="83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Attaquant intentionnel, moyens faibles, compétences génériques.</w:t>
            </w:r>
          </w:p>
        </w:tc>
      </w:tr>
      <w:tr>
        <w:tc>
          <w:tcPr>
            <w:tcW w:type="dxa" w:w="13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21"/>
                <w:szCs w:val="21"/>
              </w:rPr>
              <w:t xml:space="preserve">SL 3</w:t>
            </w:r>
          </w:p>
        </w:tc>
        <w:tc>
          <w:tcPr>
            <w:tcW w:type="dxa" w:w="83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Attaquant motivé, moyens modérés, compétences spécifiques aux systèmes industriels.</w:t>
            </w:r>
          </w:p>
        </w:tc>
      </w:tr>
      <w:tr>
        <w:tc>
          <w:tcPr>
            <w:tcW w:type="dxa" w:w="13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21"/>
                <w:szCs w:val="21"/>
              </w:rPr>
              <w:t xml:space="preserve">SL 4</w:t>
            </w:r>
          </w:p>
        </w:tc>
        <w:tc>
          <w:tcPr>
            <w:tcW w:type="dxa" w:w="83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Attaquant disposant de moyens étendus et de ressources d'État.</w:t>
            </w:r>
          </w:p>
        </w:tc>
      </w:tr>
    </w:tbl>
    <w:p>
      <w:pPr>
        <w:spacing w:after="100" w:before="0" w:line="276"/>
      </w:pPr>
      <w:r>
        <w:rPr>
          <w:rFonts w:ascii="Calibri" w:cs="Calibri" w:eastAsia="Calibri" w:hAnsi="Calibri"/>
          <w:b w:val="false"/>
          <w:bCs w:val="false"/>
          <w:i w:val="false"/>
          <w:iCs w:val="false"/>
          <w:caps w:val="false"/>
          <w:color w:val="1B2733"/>
          <w:sz w:val="21"/>
          <w:szCs w:val="21"/>
        </w:rPr>
        <w:t xml:space="preserve"/>
      </w:r>
    </w:p>
    <w:p>
      <w:pPr>
        <w:spacing w:after="120" w:before="0" w:line="276"/>
      </w:pPr>
      <w:r>
        <w:rPr>
          <w:rFonts w:ascii="Calibri" w:cs="Calibri" w:eastAsia="Calibri" w:hAnsi="Calibri"/>
          <w:b w:val="false"/>
          <w:bCs w:val="false"/>
          <w:i w:val="false"/>
          <w:iCs w:val="false"/>
          <w:caps w:val="false"/>
          <w:color w:val="1B2733"/>
          <w:sz w:val="21"/>
          <w:szCs w:val="21"/>
        </w:rPr>
        <w:t xml:space="preserve">Le mode opératoire du TP — distribution Kali standard, identifiants par défaut, bibliothèque Modbus publique, plugin OT de Caldera — correspond exactement au profil </w:t>
      </w:r>
      <w:r>
        <w:rPr>
          <w:rFonts w:ascii="Calibri" w:cs="Calibri" w:eastAsia="Calibri" w:hAnsi="Calibri"/>
          <w:b/>
          <w:bCs/>
          <w:i w:val="false"/>
          <w:iCs w:val="false"/>
          <w:caps w:val="false"/>
          <w:color w:val="1B2733"/>
          <w:sz w:val="21"/>
          <w:szCs w:val="21"/>
        </w:rPr>
        <w:t xml:space="preserve">SL 2</w:t>
      </w:r>
      <w:r>
        <w:rPr>
          <w:rFonts w:ascii="Calibri" w:cs="Calibri" w:eastAsia="Calibri" w:hAnsi="Calibri"/>
          <w:b w:val="false"/>
          <w:bCs w:val="false"/>
          <w:i w:val="false"/>
          <w:iCs w:val="false"/>
          <w:caps w:val="false"/>
          <w:color w:val="1B2733"/>
          <w:sz w:val="21"/>
          <w:szCs w:val="21"/>
        </w:rPr>
        <w:t xml:space="preserve">. Or l'installation n'oppose aujourd'hui </w:t>
      </w:r>
      <w:r>
        <w:rPr>
          <w:rFonts w:ascii="Calibri" w:cs="Calibri" w:eastAsia="Calibri" w:hAnsi="Calibri"/>
          <w:b/>
          <w:bCs/>
          <w:i w:val="false"/>
          <w:iCs w:val="false"/>
          <w:caps w:val="false"/>
          <w:color w:val="1B2733"/>
          <w:sz w:val="21"/>
          <w:szCs w:val="21"/>
        </w:rPr>
        <w:t xml:space="preserve">aucune</w:t>
      </w:r>
      <w:r>
        <w:rPr>
          <w:rFonts w:ascii="Calibri" w:cs="Calibri" w:eastAsia="Calibri" w:hAnsi="Calibri"/>
          <w:b w:val="false"/>
          <w:bCs w:val="false"/>
          <w:i w:val="false"/>
          <w:iCs w:val="false"/>
          <w:caps w:val="false"/>
          <w:color w:val="1B2733"/>
          <w:sz w:val="21"/>
          <w:szCs w:val="21"/>
        </w:rPr>
        <w:t xml:space="preserve"> contre-mesure : elle se situe au niveau </w:t>
      </w:r>
      <w:r>
        <w:rPr>
          <w:rFonts w:ascii="Calibri" w:cs="Calibri" w:eastAsia="Calibri" w:hAnsi="Calibri"/>
          <w:b/>
          <w:bCs/>
          <w:i w:val="false"/>
          <w:iCs w:val="false"/>
          <w:caps w:val="false"/>
          <w:color w:val="1B2733"/>
          <w:sz w:val="21"/>
          <w:szCs w:val="21"/>
        </w:rPr>
        <w:t xml:space="preserve">SL 0</w:t>
      </w:r>
      <w:r>
        <w:rPr>
          <w:rFonts w:ascii="Calibri" w:cs="Calibri" w:eastAsia="Calibri" w:hAnsi="Calibri"/>
          <w:b w:val="false"/>
          <w:bCs w:val="false"/>
          <w:i w:val="false"/>
          <w:iCs w:val="false"/>
          <w:caps w:val="false"/>
          <w:color w:val="1B2733"/>
          <w:sz w:val="21"/>
          <w:szCs w:val="21"/>
        </w:rPr>
        <w:t xml:space="preserve">. L'écart à combler est donc, au minimum, de SL 0 à SL 2 partout, et de SL 0 à </w:t>
      </w:r>
      <w:r>
        <w:rPr>
          <w:rFonts w:ascii="Calibri" w:cs="Calibri" w:eastAsia="Calibri" w:hAnsi="Calibri"/>
          <w:b/>
          <w:bCs/>
          <w:i w:val="false"/>
          <w:iCs w:val="false"/>
          <w:caps w:val="false"/>
          <w:color w:val="1B2733"/>
          <w:sz w:val="21"/>
          <w:szCs w:val="21"/>
        </w:rPr>
        <w:t xml:space="preserve">SL 3</w:t>
      </w:r>
      <w:r>
        <w:rPr>
          <w:rFonts w:ascii="Calibri" w:cs="Calibri" w:eastAsia="Calibri" w:hAnsi="Calibri"/>
          <w:b w:val="false"/>
          <w:bCs w:val="false"/>
          <w:i w:val="false"/>
          <w:iCs w:val="false"/>
          <w:caps w:val="false"/>
          <w:color w:val="1B2733"/>
          <w:sz w:val="21"/>
          <w:szCs w:val="21"/>
        </w:rPr>
        <w:t xml:space="preserve"> sur la zone de contrôle, qui commande directement un procédé dangereux.</w:t>
      </w:r>
    </w:p>
    <w:p>
      <w:pPr>
        <w:spacing w:after="120" w:before="0" w:line="276"/>
      </w:pPr>
      <w:r>
        <w:rPr>
          <w:rFonts w:ascii="Calibri" w:cs="Calibri" w:eastAsia="Calibri" w:hAnsi="Calibri"/>
          <w:b w:val="false"/>
          <w:bCs w:val="false"/>
          <w:i w:val="false"/>
          <w:iCs w:val="false"/>
          <w:caps w:val="false"/>
          <w:color w:val="1B2733"/>
          <w:sz w:val="21"/>
          <w:szCs w:val="21"/>
        </w:rPr>
        <w:t xml:space="preserve">Chaque niveau se décline sur quatre axes : le </w:t>
      </w:r>
      <w:r>
        <w:rPr>
          <w:rFonts w:ascii="Calibri" w:cs="Calibri" w:eastAsia="Calibri" w:hAnsi="Calibri"/>
          <w:b/>
          <w:bCs/>
          <w:i w:val="false"/>
          <w:iCs w:val="false"/>
          <w:caps w:val="false"/>
          <w:color w:val="1B2733"/>
          <w:sz w:val="21"/>
          <w:szCs w:val="21"/>
        </w:rPr>
        <w:t xml:space="preserve">SL-T</w:t>
      </w:r>
      <w:r>
        <w:rPr>
          <w:rFonts w:ascii="Calibri" w:cs="Calibri" w:eastAsia="Calibri" w:hAnsi="Calibri"/>
          <w:b w:val="false"/>
          <w:bCs w:val="false"/>
          <w:i w:val="false"/>
          <w:iCs w:val="false"/>
          <w:caps w:val="false"/>
          <w:color w:val="1B2733"/>
          <w:sz w:val="21"/>
          <w:szCs w:val="21"/>
        </w:rPr>
        <w:t xml:space="preserve"> (visé, issu de l'analyse de risque), le </w:t>
      </w:r>
      <w:r>
        <w:rPr>
          <w:rFonts w:ascii="Calibri" w:cs="Calibri" w:eastAsia="Calibri" w:hAnsi="Calibri"/>
          <w:b/>
          <w:bCs/>
          <w:i w:val="false"/>
          <w:iCs w:val="false"/>
          <w:caps w:val="false"/>
          <w:color w:val="1B2733"/>
          <w:sz w:val="21"/>
          <w:szCs w:val="21"/>
        </w:rPr>
        <w:t xml:space="preserve">SL-C</w:t>
      </w:r>
      <w:r>
        <w:rPr>
          <w:rFonts w:ascii="Calibri" w:cs="Calibri" w:eastAsia="Calibri" w:hAnsi="Calibri"/>
          <w:b w:val="false"/>
          <w:bCs w:val="false"/>
          <w:i w:val="false"/>
          <w:iCs w:val="false"/>
          <w:caps w:val="false"/>
          <w:color w:val="1B2733"/>
          <w:sz w:val="21"/>
          <w:szCs w:val="21"/>
        </w:rPr>
        <w:t xml:space="preserve"> (capacité du composant), le </w:t>
      </w:r>
      <w:r>
        <w:rPr>
          <w:rFonts w:ascii="Calibri" w:cs="Calibri" w:eastAsia="Calibri" w:hAnsi="Calibri"/>
          <w:b/>
          <w:bCs/>
          <w:i w:val="false"/>
          <w:iCs w:val="false"/>
          <w:caps w:val="false"/>
          <w:color w:val="1B2733"/>
          <w:sz w:val="21"/>
          <w:szCs w:val="21"/>
        </w:rPr>
        <w:t xml:space="preserve">SL-A</w:t>
      </w:r>
      <w:r>
        <w:rPr>
          <w:rFonts w:ascii="Calibri" w:cs="Calibri" w:eastAsia="Calibri" w:hAnsi="Calibri"/>
          <w:b w:val="false"/>
          <w:bCs w:val="false"/>
          <w:i w:val="false"/>
          <w:iCs w:val="false"/>
          <w:caps w:val="false"/>
          <w:color w:val="1B2733"/>
          <w:sz w:val="21"/>
          <w:szCs w:val="21"/>
        </w:rPr>
        <w:t xml:space="preserve"> (réellement atteint) et le SL 0 (aucune exigence). Le durcissement fait converger SL-A vers SL-T, zone par zone.</w:t>
      </w:r>
    </w:p>
    <w:p>
      <w:pPr>
        <w:pStyle w:val="Heading2"/>
        <w:keepNext/>
        <w:spacing w:after="100" w:before="220"/>
      </w:pPr>
      <w:r>
        <w:rPr>
          <w:rFonts w:ascii="Calibri" w:cs="Calibri" w:eastAsia="Calibri" w:hAnsi="Calibri"/>
          <w:b/>
          <w:bCs/>
          <w:color w:val="33475B"/>
          <w:sz w:val="24"/>
          <w:szCs w:val="24"/>
        </w:rPr>
        <w:t xml:space="preserve">Les 7 exigences fondamentales (Foundational Requirements)</w:t>
      </w:r>
    </w:p>
    <w:p>
      <w:pPr>
        <w:spacing w:after="120" w:before="0" w:line="276"/>
      </w:pPr>
      <w:r>
        <w:rPr>
          <w:rFonts w:ascii="Calibri" w:cs="Calibri" w:eastAsia="Calibri" w:hAnsi="Calibri"/>
          <w:b w:val="false"/>
          <w:bCs w:val="false"/>
          <w:i w:val="false"/>
          <w:iCs w:val="false"/>
          <w:caps w:val="false"/>
          <w:color w:val="1B2733"/>
          <w:sz w:val="21"/>
          <w:szCs w:val="21"/>
        </w:rPr>
        <w:t xml:space="preserve">L'IEC 62443-3-3 décline chaque niveau en sept familles d'exigences, grille de lecture des correctifs du §5.</w:t>
      </w:r>
    </w:p>
    <w:tbl>
      <w:tblPr>
        <w:tblW w:type="dxa" w:w="9600"/>
        <w:tblBorders>
          <w:top w:val="single" w:color="C7D0D8" w:sz="2"/>
          <w:left w:val="single" w:color="C7D0D8" w:sz="2"/>
          <w:bottom w:val="single" w:color="C7D0D8" w:sz="2"/>
          <w:right w:val="single" w:color="C7D0D8" w:sz="2"/>
          <w:insideH w:val="single" w:color="C7D0D8" w:sz="2"/>
          <w:insideV w:val="single" w:color="C7D0D8" w:sz="2"/>
        </w:tblBorders>
      </w:tblPr>
      <w:tblGrid>
        <w:gridCol w:w="1050"/>
        <w:gridCol w:w="3550"/>
        <w:gridCol w:w="5000"/>
      </w:tblGrid>
      <w:tr>
        <w:trPr>
          <w:tblHeader/>
        </w:trPr>
        <w:tc>
          <w:tcPr>
            <w:tcW w:type="dxa" w:w="105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FR</w:t>
            </w:r>
          </w:p>
        </w:tc>
        <w:tc>
          <w:tcPr>
            <w:tcW w:type="dxa" w:w="355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Exigence fondamentale</w:t>
            </w:r>
          </w:p>
        </w:tc>
        <w:tc>
          <w:tcPr>
            <w:tcW w:type="dxa" w:w="50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Ce qu'elle impose ici</w:t>
            </w:r>
          </w:p>
        </w:tc>
      </w:tr>
      <w:tr>
        <w:tc>
          <w:tcPr>
            <w:tcW w:type="dxa" w:w="105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21"/>
                <w:szCs w:val="21"/>
              </w:rPr>
              <w:t xml:space="preserve">FR 1</w:t>
            </w:r>
          </w:p>
        </w:tc>
        <w:tc>
          <w:tcPr>
            <w:tcW w:type="dxa" w:w="355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Identification &amp; authentification (IAC)</w:t>
            </w:r>
          </w:p>
        </w:tc>
        <w:tc>
          <w:tcPr>
            <w:tcW w:type="dxa" w:w="50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Comptes nominatifs, mots de passe forts, MFA sur l'administration</w:t>
            </w:r>
          </w:p>
        </w:tc>
      </w:tr>
      <w:tr>
        <w:tc>
          <w:tcPr>
            <w:tcW w:type="dxa" w:w="105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21"/>
                <w:szCs w:val="21"/>
              </w:rPr>
              <w:t xml:space="preserve">FR 2</w:t>
            </w:r>
          </w:p>
        </w:tc>
        <w:tc>
          <w:tcPr>
            <w:tcW w:type="dxa" w:w="355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Contrôle d'usage (UC)</w:t>
            </w:r>
          </w:p>
        </w:tc>
        <w:tc>
          <w:tcPr>
            <w:tcW w:type="dxa" w:w="50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Droits par rôle, dépôt de programme automate restreint et tracé</w:t>
            </w:r>
          </w:p>
        </w:tc>
      </w:tr>
      <w:tr>
        <w:tc>
          <w:tcPr>
            <w:tcW w:type="dxa" w:w="105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21"/>
                <w:szCs w:val="21"/>
              </w:rPr>
              <w:t xml:space="preserve">FR 3</w:t>
            </w:r>
          </w:p>
        </w:tc>
        <w:tc>
          <w:tcPr>
            <w:tcW w:type="dxa" w:w="355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Intégrité du système (SI)</w:t>
            </w:r>
          </w:p>
        </w:tc>
        <w:tc>
          <w:tcPr>
            <w:tcW w:type="dxa" w:w="50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Signature du code automate, inspection Modbus, anti-usurpation ARP</w:t>
            </w:r>
          </w:p>
        </w:tc>
      </w:tr>
      <w:tr>
        <w:tc>
          <w:tcPr>
            <w:tcW w:type="dxa" w:w="105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21"/>
                <w:szCs w:val="21"/>
              </w:rPr>
              <w:t xml:space="preserve">FR 4</w:t>
            </w:r>
          </w:p>
        </w:tc>
        <w:tc>
          <w:tcPr>
            <w:tcW w:type="dxa" w:w="355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Confidentialité des données (DC)</w:t>
            </w:r>
          </w:p>
        </w:tc>
        <w:tc>
          <w:tcPr>
            <w:tcW w:type="dxa" w:w="50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TLS interne, fin du HTTP et du Modbus en clair sur les conduits sensibles</w:t>
            </w:r>
          </w:p>
        </w:tc>
      </w:tr>
      <w:tr>
        <w:tc>
          <w:tcPr>
            <w:tcW w:type="dxa" w:w="105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21"/>
                <w:szCs w:val="21"/>
              </w:rPr>
              <w:t xml:space="preserve">FR 5</w:t>
            </w:r>
          </w:p>
        </w:tc>
        <w:tc>
          <w:tcPr>
            <w:tcW w:type="dxa" w:w="355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Restriction des flux (RDF)</w:t>
            </w:r>
          </w:p>
        </w:tc>
        <w:tc>
          <w:tcPr>
            <w:tcW w:type="dxa" w:w="50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Zones &amp; conduits, pare-feu en refus par défaut, fin du réseau d'admin hors bande</w:t>
            </w:r>
          </w:p>
        </w:tc>
      </w:tr>
      <w:tr>
        <w:tc>
          <w:tcPr>
            <w:tcW w:type="dxa" w:w="105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21"/>
                <w:szCs w:val="21"/>
              </w:rPr>
              <w:t xml:space="preserve">FR 6</w:t>
            </w:r>
          </w:p>
        </w:tc>
        <w:tc>
          <w:tcPr>
            <w:tcW w:type="dxa" w:w="355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Réponse aux événements (TRE)</w:t>
            </w:r>
          </w:p>
        </w:tc>
        <w:tc>
          <w:tcPr>
            <w:tcW w:type="dxa" w:w="50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IDS Suricata paramétré, SIEM Wazuh, journalisation centralisée</w:t>
            </w:r>
          </w:p>
        </w:tc>
      </w:tr>
      <w:tr>
        <w:tc>
          <w:tcPr>
            <w:tcW w:type="dxa" w:w="105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21"/>
                <w:szCs w:val="21"/>
              </w:rPr>
              <w:t xml:space="preserve">FR 7</w:t>
            </w:r>
          </w:p>
        </w:tc>
        <w:tc>
          <w:tcPr>
            <w:tcW w:type="dxa" w:w="355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Disponibilité des ressources (RA)</w:t>
            </w:r>
          </w:p>
        </w:tc>
        <w:tc>
          <w:tcPr>
            <w:tcW w:type="dxa" w:w="50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Sauvegardes hors ligne, PRA testé, barrière SIL 2 indépendante</w:t>
            </w:r>
          </w:p>
        </w:tc>
      </w:tr>
    </w:tbl>
    <w:p>
      <w:pPr>
        <w:spacing w:after="100" w:before="0" w:line="276"/>
      </w:pPr>
      <w:r>
        <w:rPr>
          <w:rFonts w:ascii="Calibri" w:cs="Calibri" w:eastAsia="Calibri" w:hAnsi="Calibri"/>
          <w:b w:val="false"/>
          <w:bCs w:val="false"/>
          <w:i w:val="false"/>
          <w:iCs w:val="false"/>
          <w:caps w:val="false"/>
          <w:color w:val="1B2733"/>
          <w:sz w:val="21"/>
          <w:szCs w:val="21"/>
        </w:rPr>
        <w:t xml:space="preserve"/>
      </w:r>
    </w:p>
    <w:p>
      <w:pPr>
        <w:pStyle w:val="Heading1"/>
        <w:keepNext/>
        <w:spacing w:after="140" w:before="320"/>
      </w:pPr>
      <w:r>
        <w:rPr>
          <w:rFonts w:ascii="Cambria" w:cs="Cambria" w:eastAsia="Cambria" w:hAnsi="Cambria"/>
          <w:b/>
          <w:bCs/>
          <w:color w:val="14507B"/>
          <w:sz w:val="30"/>
          <w:szCs w:val="30"/>
        </w:rPr>
        <w:t xml:space="preserve">§2   </w:t>
      </w:r>
      <w:r>
        <w:rPr>
          <w:rFonts w:ascii="Cambria" w:cs="Cambria" w:eastAsia="Cambria" w:hAnsi="Cambria"/>
          <w:b/>
          <w:bCs/>
          <w:color w:val="1B2733"/>
          <w:sz w:val="30"/>
          <w:szCs w:val="30"/>
        </w:rPr>
        <w:t xml:space="preserve">Architecture initiale</w:t>
      </w:r>
    </w:p>
    <w:p>
      <w:pPr>
        <w:spacing w:after="120" w:before="0" w:line="276"/>
      </w:pPr>
      <w:r>
        <w:rPr>
          <w:rFonts w:ascii="Calibri" w:cs="Calibri" w:eastAsia="Calibri" w:hAnsi="Calibri"/>
          <w:b w:val="false"/>
          <w:bCs w:val="false"/>
          <w:i w:val="false"/>
          <w:iCs w:val="false"/>
          <w:caps w:val="false"/>
          <w:color w:val="1B2733"/>
          <w:sz w:val="21"/>
          <w:szCs w:val="21"/>
        </w:rPr>
        <w:t xml:space="preserve">Deux sous-réseaux à plat séparés par un routeur ouvert en grand. Toutes les interfaces d'administration sont exposées en HTTP, tous les comptes sont ceux d'origine, et le protocole de commande du procédé — Modbus/TCP — circule sans authentification ni contrôle d'intégrité.</w:t>
      </w:r>
    </w:p>
    <w:p>
      <w:pPr>
        <w:pStyle w:val="Heading2"/>
        <w:keepNext/>
        <w:spacing w:after="100" w:before="220"/>
      </w:pPr>
      <w:r>
        <w:rPr>
          <w:rFonts w:ascii="Calibri" w:cs="Calibri" w:eastAsia="Calibri" w:hAnsi="Calibri"/>
          <w:b/>
          <w:bCs/>
          <w:color w:val="33475B"/>
          <w:sz w:val="24"/>
          <w:szCs w:val="24"/>
        </w:rPr>
        <w:t xml:space="preserve">Inventaire des actifs</w:t>
      </w:r>
    </w:p>
    <w:tbl>
      <w:tblPr>
        <w:tblW w:type="dxa" w:w="9600"/>
        <w:tblBorders>
          <w:top w:val="single" w:color="C7D0D8" w:sz="2"/>
          <w:left w:val="single" w:color="C7D0D8" w:sz="2"/>
          <w:bottom w:val="single" w:color="C7D0D8" w:sz="2"/>
          <w:right w:val="single" w:color="C7D0D8" w:sz="2"/>
          <w:insideH w:val="single" w:color="C7D0D8" w:sz="2"/>
          <w:insideV w:val="single" w:color="C7D0D8" w:sz="2"/>
        </w:tblBorders>
      </w:tblPr>
      <w:tblGrid>
        <w:gridCol w:w="2600"/>
        <w:gridCol w:w="1900"/>
        <w:gridCol w:w="5100"/>
      </w:tblGrid>
      <w:tr>
        <w:trPr>
          <w:tblHeader/>
        </w:trPr>
        <w:tc>
          <w:tcPr>
            <w:tcW w:type="dxa" w:w="26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Zone / actif</w:t>
            </w:r>
          </w:p>
        </w:tc>
        <w:tc>
          <w:tcPr>
            <w:tcW w:type="dxa" w:w="19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Adresse</w:t>
            </w:r>
          </w:p>
        </w:tc>
        <w:tc>
          <w:tcPr>
            <w:tcW w:type="dxa" w:w="51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Exposition &amp; état</w:t>
            </w:r>
          </w:p>
        </w:tc>
      </w:tr>
      <w:tr>
        <w:tc>
          <w:tcPr>
            <w:tcW w:type="dxa" w:w="26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DMZ — IHM Scada-LTS</w:t>
            </w:r>
          </w:p>
        </w:tc>
        <w:tc>
          <w:tcPr>
            <w:tcW w:type="dxa" w:w="1900"/>
            <w:tcMar>
              <w:top w:type="dxa" w:w="60"/>
              <w:left w:type="dxa" w:w="90"/>
              <w:bottom w:type="dxa" w:w="60"/>
              <w:right w:type="dxa" w:w="90"/>
            </w:tcMar>
            <w:vAlign w:val="center"/>
          </w:tcPr>
          <w:p>
            <w:pPr>
              <w:spacing w:after="0" w:before="0" w:line="276"/>
            </w:pPr>
            <w:r>
              <w:rPr>
                <w:rFonts w:ascii="Consolas" w:cs="Consolas" w:eastAsia="Consolas" w:hAnsi="Consolas"/>
                <w:color w:val="14507B"/>
                <w:sz w:val="19"/>
                <w:szCs w:val="19"/>
              </w:rPr>
              <w:t xml:space="preserve">192.168.90.107</w:t>
            </w:r>
          </w:p>
        </w:tc>
        <w:tc>
          <w:tcPr>
            <w:tcW w:type="dxa" w:w="5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HTTP 8080 (Tomcat 9), MariaDB root:root, admin:admin (SHA-1 non salé)</w:t>
            </w:r>
          </w:p>
        </w:tc>
      </w:tr>
      <w:tr>
        <w:tc>
          <w:tcPr>
            <w:tcW w:type="dxa" w:w="26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DMZ — Poste attaquant Kali</w:t>
            </w:r>
          </w:p>
        </w:tc>
        <w:tc>
          <w:tcPr>
            <w:tcW w:type="dxa" w:w="1900"/>
            <w:tcMar>
              <w:top w:type="dxa" w:w="60"/>
              <w:left w:type="dxa" w:w="90"/>
              <w:bottom w:type="dxa" w:w="60"/>
              <w:right w:type="dxa" w:w="90"/>
            </w:tcMar>
            <w:vAlign w:val="center"/>
          </w:tcPr>
          <w:p>
            <w:pPr>
              <w:spacing w:after="0" w:before="0" w:line="276"/>
            </w:pPr>
            <w:r>
              <w:rPr>
                <w:rFonts w:ascii="Consolas" w:cs="Consolas" w:eastAsia="Consolas" w:hAnsi="Consolas"/>
                <w:color w:val="14507B"/>
                <w:sz w:val="19"/>
                <w:szCs w:val="19"/>
              </w:rPr>
              <w:t xml:space="preserve">192.168.90.6</w:t>
            </w:r>
          </w:p>
        </w:tc>
        <w:tc>
          <w:tcPr>
            <w:tcW w:type="dxa" w:w="5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noVNC, sudo NOPASSWD, nmap/dsniff/pymodbus/metasploit — outil offensif en production</w:t>
            </w:r>
          </w:p>
        </w:tc>
      </w:tr>
      <w:tr>
        <w:tc>
          <w:tcPr>
            <w:tcW w:type="dxa" w:w="26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DMZ — MITRE Caldera</w:t>
            </w:r>
          </w:p>
        </w:tc>
        <w:tc>
          <w:tcPr>
            <w:tcW w:type="dxa" w:w="1900"/>
            <w:tcMar>
              <w:top w:type="dxa" w:w="60"/>
              <w:left w:type="dxa" w:w="90"/>
              <w:bottom w:type="dxa" w:w="60"/>
              <w:right w:type="dxa" w:w="90"/>
            </w:tcMar>
            <w:vAlign w:val="center"/>
          </w:tcPr>
          <w:p>
            <w:pPr>
              <w:spacing w:after="0" w:before="0" w:line="276"/>
            </w:pPr>
            <w:r>
              <w:rPr>
                <w:rFonts w:ascii="Consolas" w:cs="Consolas" w:eastAsia="Consolas" w:hAnsi="Consolas"/>
                <w:color w:val="14507B"/>
                <w:sz w:val="19"/>
                <w:szCs w:val="19"/>
              </w:rPr>
              <w:t xml:space="preserve">192.168.90.250</w:t>
            </w:r>
          </w:p>
        </w:tc>
        <w:tc>
          <w:tcPr>
            <w:tcW w:type="dxa" w:w="5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HTTP 8888, plugin Modbus, red:fortiphyd-red</w:t>
            </w:r>
          </w:p>
        </w:tc>
      </w:tr>
      <w:tr>
        <w:tc>
          <w:tcPr>
            <w:tcW w:type="dxa" w:w="26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Routeur / pare-feu</w:t>
            </w:r>
          </w:p>
        </w:tc>
        <w:tc>
          <w:tcPr>
            <w:tcW w:type="dxa" w:w="1900"/>
            <w:tcMar>
              <w:top w:type="dxa" w:w="60"/>
              <w:left w:type="dxa" w:w="90"/>
              <w:bottom w:type="dxa" w:w="60"/>
              <w:right w:type="dxa" w:w="90"/>
            </w:tcMar>
            <w:vAlign w:val="center"/>
          </w:tcPr>
          <w:p>
            <w:pPr>
              <w:spacing w:after="0" w:before="0" w:line="276"/>
            </w:pPr>
            <w:r>
              <w:rPr>
                <w:rFonts w:ascii="Consolas" w:cs="Consolas" w:eastAsia="Consolas" w:hAnsi="Consolas"/>
                <w:color w:val="14507B"/>
                <w:sz w:val="19"/>
                <w:szCs w:val="19"/>
              </w:rPr>
              <w:t xml:space="preserve">.90.200 / .95.200</w:t>
            </w:r>
          </w:p>
        </w:tc>
        <w:tc>
          <w:tcPr>
            <w:tcW w:type="dxa" w:w="5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UI d'administration port 5000 en HTTP, mot de passe trouvé sur post-it</w:t>
            </w:r>
          </w:p>
        </w:tc>
      </w:tr>
      <w:tr>
        <w:tc>
          <w:tcPr>
            <w:tcW w:type="dxa" w:w="26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ICS — Automate OpenPLC</w:t>
            </w:r>
          </w:p>
        </w:tc>
        <w:tc>
          <w:tcPr>
            <w:tcW w:type="dxa" w:w="1900"/>
            <w:tcMar>
              <w:top w:type="dxa" w:w="60"/>
              <w:left w:type="dxa" w:w="90"/>
              <w:bottom w:type="dxa" w:w="60"/>
              <w:right w:type="dxa" w:w="90"/>
            </w:tcMar>
            <w:vAlign w:val="center"/>
          </w:tcPr>
          <w:p>
            <w:pPr>
              <w:spacing w:after="0" w:before="0" w:line="276"/>
            </w:pPr>
            <w:r>
              <w:rPr>
                <w:rFonts w:ascii="Consolas" w:cs="Consolas" w:eastAsia="Consolas" w:hAnsi="Consolas"/>
                <w:color w:val="14507B"/>
                <w:sz w:val="19"/>
                <w:szCs w:val="19"/>
              </w:rPr>
              <w:t xml:space="preserve">192.168.95.2</w:t>
            </w:r>
          </w:p>
        </w:tc>
        <w:tc>
          <w:tcPr>
            <w:tcW w:type="dxa" w:w="5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Modbus/TCP 502 + web 8080 (dépôt de code), Debian bullseye (fin de vie), openplc:openplc</w:t>
            </w:r>
          </w:p>
        </w:tc>
      </w:tr>
      <w:tr>
        <w:tc>
          <w:tcPr>
            <w:tcW w:type="dxa" w:w="26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ICS — Poste d'ingénierie</w:t>
            </w:r>
          </w:p>
        </w:tc>
        <w:tc>
          <w:tcPr>
            <w:tcW w:type="dxa" w:w="1900"/>
            <w:tcMar>
              <w:top w:type="dxa" w:w="60"/>
              <w:left w:type="dxa" w:w="90"/>
              <w:bottom w:type="dxa" w:w="60"/>
              <w:right w:type="dxa" w:w="90"/>
            </w:tcMar>
            <w:vAlign w:val="center"/>
          </w:tcPr>
          <w:p>
            <w:pPr>
              <w:spacing w:after="0" w:before="0" w:line="276"/>
            </w:pPr>
            <w:r>
              <w:rPr>
                <w:rFonts w:ascii="Consolas" w:cs="Consolas" w:eastAsia="Consolas" w:hAnsi="Consolas"/>
                <w:color w:val="14507B"/>
                <w:sz w:val="19"/>
                <w:szCs w:val="19"/>
              </w:rPr>
              <w:t xml:space="preserve">192.168.95.5</w:t>
            </w:r>
          </w:p>
        </w:tc>
        <w:tc>
          <w:tcPr>
            <w:tcW w:type="dxa" w:w="5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noVNC 6080, éditeur OpenPLC, projet « chemical »</w:t>
            </w:r>
          </w:p>
        </w:tc>
      </w:tr>
      <w:tr>
        <w:tc>
          <w:tcPr>
            <w:tcW w:type="dxa" w:w="26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ICS — Serveur de simulation</w:t>
            </w:r>
          </w:p>
        </w:tc>
        <w:tc>
          <w:tcPr>
            <w:tcW w:type="dxa" w:w="1900"/>
            <w:tcMar>
              <w:top w:type="dxa" w:w="60"/>
              <w:left w:type="dxa" w:w="90"/>
              <w:bottom w:type="dxa" w:w="60"/>
              <w:right w:type="dxa" w:w="90"/>
            </w:tcMar>
            <w:vAlign w:val="center"/>
          </w:tcPr>
          <w:p>
            <w:pPr>
              <w:spacing w:after="0" w:before="0" w:line="276"/>
            </w:pPr>
            <w:r>
              <w:rPr>
                <w:rFonts w:ascii="Consolas" w:cs="Consolas" w:eastAsia="Consolas" w:hAnsi="Consolas"/>
                <w:color w:val="14507B"/>
                <w:sz w:val="19"/>
                <w:szCs w:val="19"/>
              </w:rPr>
              <w:t xml:space="preserve">192.168.95.45</w:t>
            </w:r>
          </w:p>
        </w:tc>
        <w:tc>
          <w:tcPr>
            <w:tcW w:type="dxa" w:w="5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Modèle du réacteur, socket JSON 55555, monte /var/run/docker.sock (hyperviseur)</w:t>
            </w:r>
          </w:p>
        </w:tc>
      </w:tr>
      <w:tr>
        <w:tc>
          <w:tcPr>
            <w:tcW w:type="dxa" w:w="26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ICS — E/S déportées</w:t>
            </w:r>
          </w:p>
        </w:tc>
        <w:tc>
          <w:tcPr>
            <w:tcW w:type="dxa" w:w="1900"/>
            <w:tcMar>
              <w:top w:type="dxa" w:w="60"/>
              <w:left w:type="dxa" w:w="90"/>
              <w:bottom w:type="dxa" w:w="60"/>
              <w:right w:type="dxa" w:w="90"/>
            </w:tcMar>
            <w:vAlign w:val="center"/>
          </w:tcPr>
          <w:p>
            <w:pPr>
              <w:spacing w:after="0" w:before="0" w:line="276"/>
            </w:pPr>
            <w:r>
              <w:rPr>
                <w:rFonts w:ascii="Consolas" w:cs="Consolas" w:eastAsia="Consolas" w:hAnsi="Consolas"/>
                <w:color w:val="14507B"/>
                <w:sz w:val="19"/>
                <w:szCs w:val="19"/>
              </w:rPr>
              <w:t xml:space="preserve">.95.10 → .15</w:t>
            </w:r>
          </w:p>
        </w:tc>
        <w:tc>
          <w:tcPr>
            <w:tcW w:type="dxa" w:w="5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Feed 1/2, Purge, Product, réacteur .95.14, Analyzer — esclave 247, aucune authentification</w:t>
            </w:r>
          </w:p>
        </w:tc>
      </w:tr>
    </w:tbl>
    <w:p>
      <w:pPr>
        <w:spacing w:after="100" w:before="0" w:line="276"/>
      </w:pPr>
      <w:r>
        <w:rPr>
          <w:rFonts w:ascii="Calibri" w:cs="Calibri" w:eastAsia="Calibri" w:hAnsi="Calibri"/>
          <w:b w:val="false"/>
          <w:bCs w:val="false"/>
          <w:i w:val="false"/>
          <w:iCs w:val="false"/>
          <w:caps w:val="false"/>
          <w:color w:val="1B2733"/>
          <w:sz w:val="21"/>
          <w:szCs w:val="21"/>
        </w:rPr>
        <w:t xml:space="preserve"/>
      </w:r>
    </w:p>
    <w:p>
      <w:pPr>
        <w:pStyle w:val="Heading2"/>
        <w:keepNext/>
        <w:spacing w:after="100" w:before="220"/>
      </w:pPr>
      <w:r>
        <w:rPr>
          <w:rFonts w:ascii="Calibri" w:cs="Calibri" w:eastAsia="Calibri" w:hAnsi="Calibri"/>
          <w:b/>
          <w:bCs/>
          <w:color w:val="33475B"/>
          <w:sz w:val="24"/>
          <w:szCs w:val="24"/>
        </w:rPr>
        <w:t xml:space="preserve">Matrice des flux constatés</w:t>
      </w:r>
    </w:p>
    <w:tbl>
      <w:tblPr>
        <w:tblW w:type="dxa" w:w="9600"/>
        <w:tblBorders>
          <w:top w:val="single" w:color="C7D0D8" w:sz="2"/>
          <w:left w:val="single" w:color="C7D0D8" w:sz="2"/>
          <w:bottom w:val="single" w:color="C7D0D8" w:sz="2"/>
          <w:right w:val="single" w:color="C7D0D8" w:sz="2"/>
          <w:insideH w:val="single" w:color="C7D0D8" w:sz="2"/>
          <w:insideV w:val="single" w:color="C7D0D8" w:sz="2"/>
        </w:tblBorders>
      </w:tblPr>
      <w:tblGrid>
        <w:gridCol w:w="2500"/>
        <w:gridCol w:w="2400"/>
        <w:gridCol w:w="2400"/>
        <w:gridCol w:w="2300"/>
      </w:tblGrid>
      <w:tr>
        <w:trPr>
          <w:tblHeader/>
        </w:trPr>
        <w:tc>
          <w:tcPr>
            <w:tcW w:type="dxa" w:w="25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Source</w:t>
            </w:r>
          </w:p>
        </w:tc>
        <w:tc>
          <w:tcPr>
            <w:tcW w:type="dxa" w:w="24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Destination</w:t>
            </w:r>
          </w:p>
        </w:tc>
        <w:tc>
          <w:tcPr>
            <w:tcW w:type="dxa" w:w="24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Protocole</w:t>
            </w:r>
          </w:p>
        </w:tc>
        <w:tc>
          <w:tcPr>
            <w:tcW w:type="dxa" w:w="23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Contrôle</w:t>
            </w:r>
          </w:p>
        </w:tc>
      </w:tr>
      <w:tr>
        <w:tc>
          <w:tcPr>
            <w:tcW w:type="dxa" w:w="25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IHM .90.107</w:t>
            </w:r>
          </w:p>
        </w:tc>
        <w:tc>
          <w:tcPr>
            <w:tcW w:type="dxa" w:w="24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Automate .95.2</w:t>
            </w:r>
          </w:p>
        </w:tc>
        <w:tc>
          <w:tcPr>
            <w:tcW w:type="dxa" w:w="24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Modbus/TCP 502</w:t>
            </w:r>
          </w:p>
        </w:tc>
        <w:tc>
          <w:tcPr>
            <w:tcW w:type="dxa" w:w="2300"/>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9E2A2A"/>
                <w:sz w:val="21"/>
                <w:szCs w:val="21"/>
              </w:rPr>
              <w:t xml:space="preserve">aucun</w:t>
            </w:r>
          </w:p>
        </w:tc>
      </w:tr>
      <w:tr>
        <w:tc>
          <w:tcPr>
            <w:tcW w:type="dxa" w:w="25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Automate .95.2</w:t>
            </w:r>
          </w:p>
        </w:tc>
        <w:tc>
          <w:tcPr>
            <w:tcW w:type="dxa" w:w="24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E/S .95.10-.15</w:t>
            </w:r>
          </w:p>
        </w:tc>
        <w:tc>
          <w:tcPr>
            <w:tcW w:type="dxa" w:w="24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Modbus/TCP 502</w:t>
            </w:r>
          </w:p>
        </w:tc>
        <w:tc>
          <w:tcPr>
            <w:tcW w:type="dxa" w:w="2300"/>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9E2A2A"/>
                <w:sz w:val="21"/>
                <w:szCs w:val="21"/>
              </w:rPr>
              <w:t xml:space="preserve">aucun</w:t>
            </w:r>
          </w:p>
        </w:tc>
      </w:tr>
      <w:tr>
        <w:tc>
          <w:tcPr>
            <w:tcW w:type="dxa" w:w="25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Poste ing. .95.5</w:t>
            </w:r>
          </w:p>
        </w:tc>
        <w:tc>
          <w:tcPr>
            <w:tcW w:type="dxa" w:w="24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Automate .95.2</w:t>
            </w:r>
          </w:p>
        </w:tc>
        <w:tc>
          <w:tcPr>
            <w:tcW w:type="dxa" w:w="24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HTTP 8080</w:t>
            </w:r>
          </w:p>
        </w:tc>
        <w:tc>
          <w:tcPr>
            <w:tcW w:type="dxa" w:w="23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9E2A2A"/>
                <w:sz w:val="21"/>
                <w:szCs w:val="21"/>
              </w:rPr>
              <w:t xml:space="preserve">mdp par défaut</w:t>
            </w:r>
          </w:p>
        </w:tc>
      </w:tr>
      <w:tr>
        <w:tc>
          <w:tcPr>
            <w:tcW w:type="dxa" w:w="25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Navigateurs</w:t>
            </w:r>
          </w:p>
        </w:tc>
        <w:tc>
          <w:tcPr>
            <w:tcW w:type="dxa" w:w="24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Toutes interfaces</w:t>
            </w:r>
          </w:p>
        </w:tc>
        <w:tc>
          <w:tcPr>
            <w:tcW w:type="dxa" w:w="24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HTTP 80/6080/8888</w:t>
            </w:r>
          </w:p>
        </w:tc>
        <w:tc>
          <w:tcPr>
            <w:tcW w:type="dxa" w:w="23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9E2A2A"/>
                <w:sz w:val="21"/>
                <w:szCs w:val="21"/>
              </w:rPr>
              <w:t xml:space="preserve">en clair</w:t>
            </w:r>
          </w:p>
        </w:tc>
      </w:tr>
      <w:tr>
        <w:tc>
          <w:tcPr>
            <w:tcW w:type="dxa" w:w="25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Tous</w:t>
            </w:r>
          </w:p>
        </w:tc>
        <w:tc>
          <w:tcPr>
            <w:tcW w:type="dxa" w:w="24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Tous</w:t>
            </w:r>
          </w:p>
        </w:tc>
        <w:tc>
          <w:tcPr>
            <w:tcW w:type="dxa" w:w="24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bridge d'admin</w:t>
            </w:r>
          </w:p>
        </w:tc>
        <w:tc>
          <w:tcPr>
            <w:tcW w:type="dxa" w:w="2300"/>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9E2A2A"/>
                <w:sz w:val="21"/>
                <w:szCs w:val="21"/>
              </w:rPr>
              <w:t xml:space="preserve">hors pare-feu</w:t>
            </w:r>
          </w:p>
        </w:tc>
      </w:tr>
    </w:tbl>
    <w:p>
      <w:r>
        <w:br w:type="page"/>
      </w:r>
    </w:p>
    <w:p>
      <w:pPr>
        <w:pStyle w:val="Heading1"/>
        <w:keepNext/>
        <w:spacing w:after="140" w:before="320"/>
      </w:pPr>
      <w:r>
        <w:rPr>
          <w:rFonts w:ascii="Cambria" w:cs="Cambria" w:eastAsia="Cambria" w:hAnsi="Cambria"/>
          <w:b/>
          <w:bCs/>
          <w:color w:val="14507B"/>
          <w:sz w:val="30"/>
          <w:szCs w:val="30"/>
        </w:rPr>
        <w:t xml:space="preserve">§3   </w:t>
      </w:r>
      <w:r>
        <w:rPr>
          <w:rFonts w:ascii="Cambria" w:cs="Cambria" w:eastAsia="Cambria" w:hAnsi="Cambria"/>
          <w:b/>
          <w:bCs/>
          <w:color w:val="1B2733"/>
          <w:sz w:val="30"/>
          <w:szCs w:val="30"/>
        </w:rPr>
        <w:t xml:space="preserve">Analyse des vulnérabilités</w:t>
      </w:r>
    </w:p>
    <w:p>
      <w:pPr>
        <w:spacing w:after="120" w:before="0" w:line="276"/>
      </w:pPr>
      <w:r>
        <w:rPr>
          <w:rFonts w:ascii="Calibri" w:cs="Calibri" w:eastAsia="Calibri" w:hAnsi="Calibri"/>
          <w:b w:val="false"/>
          <w:bCs w:val="false"/>
          <w:i w:val="false"/>
          <w:iCs w:val="false"/>
          <w:caps w:val="false"/>
          <w:color w:val="1B2733"/>
          <w:sz w:val="21"/>
          <w:szCs w:val="21"/>
        </w:rPr>
        <w:t xml:space="preserve">Treize vulnérabilités ont été retenues. Chacune est rattachée aux exigences système (SR) de l'IEC 62443-3-3 et à la technique ATT&amp;CK for ICS correspondante. Les cinq premières sont celles qui ont été directement exploitées pendant le TP ; elles conditionnent la totalité de la chaîne d'attaque.</w:t>
      </w:r>
    </w:p>
    <w:p>
      <w:pPr>
        <w:spacing w:after="80" w:before="0" w:line="276"/>
      </w:pPr>
      <w:r>
        <w:rPr>
          <w:rFonts w:ascii="Calibri" w:cs="Calibri" w:eastAsia="Calibri" w:hAnsi="Calibri"/>
          <w:b w:val="false"/>
          <w:bCs w:val="false"/>
          <w:i w:val="false"/>
          <w:iCs w:val="false"/>
          <w:caps w:val="false"/>
          <w:color w:val="1B2733"/>
          <w:sz w:val="21"/>
          <w:szCs w:val="21"/>
        </w:rPr>
        <w:t xml:space="preserve"/>
      </w:r>
    </w:p>
    <w:tbl>
      <w:tblPr>
        <w:tblW w:type="dxa" w:w="9600"/>
        <w:tblBorders>
          <w:top w:val="single" w:color="C7D0D8" w:sz="2"/>
          <w:left w:val="single" w:color="9E2A2A" w:sz="12"/>
          <w:bottom w:val="single" w:color="C7D0D8" w:sz="2"/>
          <w:right w:val="single" w:color="C7D0D8" w:sz="2"/>
          <w:insideH w:val="single" w:color="C7D0D8" w:sz="2"/>
          <w:insideV w:val="single" w:color="C7D0D8" w:sz="2"/>
        </w:tblBorders>
      </w:tblPr>
      <w:tblGrid>
        <w:gridCol w:w="1500"/>
        <w:gridCol w:w="6540"/>
        <w:gridCol w:w="1560"/>
      </w:tblGrid>
      <w:tr>
        <w:tc>
          <w:tcPr>
            <w:tcW w:type="dxa" w:w="1500"/>
            <w:shd w:fill="9E2A2A"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FFFFFF"/>
                <w:sz w:val="21"/>
                <w:szCs w:val="21"/>
              </w:rPr>
              <w:t xml:space="preserve">V1</w:t>
            </w:r>
          </w:p>
        </w:tc>
        <w:tc>
          <w:tcPr>
            <w:tcW w:type="dxa" w:w="6540"/>
            <w:shd w:fill="E7EEF4"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B2733"/>
                <w:sz w:val="22"/>
                <w:szCs w:val="22"/>
              </w:rPr>
              <w:t xml:space="preserve">Pare-feu ouvert en grand entre la DMZ et la zone procédé</w:t>
            </w:r>
          </w:p>
        </w:tc>
        <w:tc>
          <w:tcPr>
            <w:tcW w:type="dxa" w:w="1560"/>
            <w:shd w:fill="9E2A2A"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color w:val="FFFFFF"/>
                <w:sz w:val="17"/>
                <w:szCs w:val="17"/>
              </w:rPr>
              <w:t xml:space="preserve">Critique</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Constat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Une unique règle </w:t>
            </w:r>
            <w:r>
              <w:rPr>
                <w:rFonts w:ascii="Consolas" w:cs="Consolas" w:eastAsia="Consolas" w:hAnsi="Consolas"/>
                <w:color w:val="14507B"/>
                <w:sz w:val="19"/>
                <w:szCs w:val="19"/>
              </w:rPr>
              <w:t xml:space="preserve">-s 0.0.0.0/0 -d 0.0.0.0/0 -j ACCEPT</w:t>
            </w:r>
            <w:r>
              <w:rPr>
                <w:rFonts w:ascii="Calibri" w:cs="Calibri" w:eastAsia="Calibri" w:hAnsi="Calibri"/>
                <w:b w:val="false"/>
                <w:bCs w:val="false"/>
                <w:i w:val="false"/>
                <w:iCs w:val="false"/>
                <w:caps w:val="false"/>
                <w:color w:val="1B2733"/>
                <w:sz w:val="21"/>
                <w:szCs w:val="21"/>
              </w:rPr>
              <w:t xml:space="preserve"> (« TEMP - allow all traffic - DO NOT LEAVE IN PRODUCTION »), complétée par un </w:t>
            </w:r>
            <w:r>
              <w:rPr>
                <w:rFonts w:ascii="Consolas" w:cs="Consolas" w:eastAsia="Consolas" w:hAnsi="Consolas"/>
                <w:color w:val="14507B"/>
                <w:sz w:val="19"/>
                <w:szCs w:val="19"/>
              </w:rPr>
              <w:t xml:space="preserve">-s 192.168.95.0/24 -j ACCEPT</w:t>
            </w:r>
            <w:r>
              <w:rPr>
                <w:rFonts w:ascii="Calibri" w:cs="Calibri" w:eastAsia="Calibri" w:hAnsi="Calibri"/>
                <w:b w:val="false"/>
                <w:bCs w:val="false"/>
                <w:i w:val="false"/>
                <w:iCs w:val="false"/>
                <w:caps w:val="false"/>
                <w:color w:val="1B2733"/>
                <w:sz w:val="21"/>
                <w:szCs w:val="21"/>
              </w:rPr>
              <w:t xml:space="preserve"> permanent qui autorise toute sortie de la zone procédé.</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Exploitation</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Depuis Kali en DMZ, accès direct à </w:t>
            </w:r>
            <w:r>
              <w:rPr>
                <w:rFonts w:ascii="Consolas" w:cs="Consolas" w:eastAsia="Consolas" w:hAnsi="Consolas"/>
                <w:color w:val="14507B"/>
                <w:sz w:val="19"/>
                <w:szCs w:val="19"/>
              </w:rPr>
              <w:t xml:space="preserve">192.168.95.2:502</w:t>
            </w:r>
            <w:r>
              <w:rPr>
                <w:rFonts w:ascii="Calibri" w:cs="Calibri" w:eastAsia="Calibri" w:hAnsi="Calibri"/>
                <w:b w:val="false"/>
                <w:bCs w:val="false"/>
                <w:i w:val="false"/>
                <w:iCs w:val="false"/>
                <w:caps w:val="false"/>
                <w:color w:val="1B2733"/>
                <w:sz w:val="21"/>
                <w:szCs w:val="21"/>
              </w:rPr>
              <w:t xml:space="preserve"> et </w:t>
            </w:r>
            <w:r>
              <w:rPr>
                <w:rFonts w:ascii="Consolas" w:cs="Consolas" w:eastAsia="Consolas" w:hAnsi="Consolas"/>
                <w:color w:val="14507B"/>
                <w:sz w:val="19"/>
                <w:szCs w:val="19"/>
              </w:rPr>
              <w:t xml:space="preserve">:8080</w:t>
            </w:r>
            <w:r>
              <w:rPr>
                <w:rFonts w:ascii="Calibri" w:cs="Calibri" w:eastAsia="Calibri" w:hAnsi="Calibri"/>
                <w:b w:val="false"/>
                <w:bCs w:val="false"/>
                <w:i w:val="false"/>
                <w:iCs w:val="false"/>
                <w:caps w:val="false"/>
                <w:color w:val="1B2733"/>
                <w:sz w:val="21"/>
                <w:szCs w:val="21"/>
              </w:rPr>
              <w:t xml:space="preserve">. Aucun pivot nécessaire.</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Impact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La segmentation n'existe que sur le schéma. Toute machine bureautique compromise atteint l'automate en une étape.</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ATT&amp;CK ICS</w:t>
            </w:r>
          </w:p>
        </w:tc>
        <w:tc>
          <w:tcPr>
            <w:tcW w:type="dxa" w:w="8100"/>
            <w:gridSpan w:val="2"/>
            <w:tcMar>
              <w:top w:type="dxa" w:w="50"/>
              <w:left w:type="dxa" w:w="90"/>
              <w:bottom w:type="dxa" w:w="50"/>
              <w:right w:type="dxa" w:w="90"/>
            </w:tcMar>
          </w:tcPr>
          <w:p>
            <w:pPr>
              <w:spacing w:after="0" w:line="250"/>
            </w:pPr>
            <w:r>
              <w:rPr>
                <w:rFonts w:ascii="Consolas" w:cs="Consolas" w:eastAsia="Consolas" w:hAnsi="Consolas"/>
                <w:color w:val="14507B"/>
                <w:sz w:val="19"/>
                <w:szCs w:val="19"/>
              </w:rPr>
              <w:t xml:space="preserve">T0886 Remote Services · T0883 Internet Accessible Device</w:t>
            </w:r>
          </w:p>
        </w:tc>
      </w:tr>
    </w:tbl>
    <w:p>
      <w:pPr>
        <w:spacing w:after="120" w:before="0" w:line="276"/>
      </w:pPr>
      <w:r>
        <w:rPr>
          <w:rFonts w:ascii="Calibri" w:cs="Calibri" w:eastAsia="Calibri" w:hAnsi="Calibri"/>
          <w:b w:val="false"/>
          <w:bCs w:val="false"/>
          <w:i w:val="false"/>
          <w:iCs w:val="false"/>
          <w:caps w:val="false"/>
          <w:color w:val="1B2733"/>
          <w:sz w:val="21"/>
          <w:szCs w:val="21"/>
        </w:rPr>
        <w:t xml:space="preserve"/>
      </w:r>
    </w:p>
    <w:tbl>
      <w:tblPr>
        <w:tblW w:type="dxa" w:w="9600"/>
        <w:tblBorders>
          <w:top w:val="single" w:color="C7D0D8" w:sz="2"/>
          <w:left w:val="single" w:color="9E2A2A" w:sz="12"/>
          <w:bottom w:val="single" w:color="C7D0D8" w:sz="2"/>
          <w:right w:val="single" w:color="C7D0D8" w:sz="2"/>
          <w:insideH w:val="single" w:color="C7D0D8" w:sz="2"/>
          <w:insideV w:val="single" w:color="C7D0D8" w:sz="2"/>
        </w:tblBorders>
      </w:tblPr>
      <w:tblGrid>
        <w:gridCol w:w="1500"/>
        <w:gridCol w:w="6540"/>
        <w:gridCol w:w="1560"/>
      </w:tblGrid>
      <w:tr>
        <w:tc>
          <w:tcPr>
            <w:tcW w:type="dxa" w:w="1500"/>
            <w:shd w:fill="9E2A2A"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FFFFFF"/>
                <w:sz w:val="21"/>
                <w:szCs w:val="21"/>
              </w:rPr>
              <w:t xml:space="preserve">V2</w:t>
            </w:r>
          </w:p>
        </w:tc>
        <w:tc>
          <w:tcPr>
            <w:tcW w:type="dxa" w:w="6540"/>
            <w:shd w:fill="E7EEF4"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B2733"/>
                <w:sz w:val="22"/>
                <w:szCs w:val="22"/>
              </w:rPr>
              <w:t xml:space="preserve">Identifiants par défaut sur l'intégralité du parc</w:t>
            </w:r>
          </w:p>
        </w:tc>
        <w:tc>
          <w:tcPr>
            <w:tcW w:type="dxa" w:w="1560"/>
            <w:shd w:fill="9E2A2A"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color w:val="FFFFFF"/>
                <w:sz w:val="17"/>
                <w:szCs w:val="17"/>
              </w:rPr>
              <w:t xml:space="preserve">Critique</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Constat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Compte </w:t>
            </w:r>
            <w:r>
              <w:rPr>
                <w:rFonts w:ascii="Consolas" w:cs="Consolas" w:eastAsia="Consolas" w:hAnsi="Consolas"/>
                <w:color w:val="14507B"/>
                <w:sz w:val="19"/>
                <w:szCs w:val="19"/>
              </w:rPr>
              <w:t xml:space="preserve">admin</w:t>
            </w:r>
            <w:r>
              <w:rPr>
                <w:rFonts w:ascii="Calibri" w:cs="Calibri" w:eastAsia="Calibri" w:hAnsi="Calibri"/>
                <w:b w:val="false"/>
                <w:bCs w:val="false"/>
                <w:i w:val="false"/>
                <w:iCs w:val="false"/>
                <w:caps w:val="false"/>
                <w:color w:val="1B2733"/>
                <w:sz w:val="21"/>
                <w:szCs w:val="21"/>
              </w:rPr>
              <w:t xml:space="preserve"> de l'automate, mot de passe du poste d'ingénierie = rangée basse du clavier, mot de passe du routeur sur post-it. </w:t>
            </w:r>
            <w:r>
              <w:rPr>
                <w:rFonts w:ascii="Consolas" w:cs="Consolas" w:eastAsia="Consolas" w:hAnsi="Consolas"/>
                <w:color w:val="14507B"/>
                <w:sz w:val="19"/>
                <w:szCs w:val="19"/>
              </w:rPr>
              <w:t xml:space="preserve">openplc:openplc</w:t>
            </w:r>
            <w:r>
              <w:rPr>
                <w:rFonts w:ascii="Calibri" w:cs="Calibri" w:eastAsia="Calibri" w:hAnsi="Calibri"/>
                <w:b w:val="false"/>
                <w:bCs w:val="false"/>
                <w:i w:val="false"/>
                <w:iCs w:val="false"/>
                <w:caps w:val="false"/>
                <w:color w:val="1B2733"/>
                <w:sz w:val="21"/>
                <w:szCs w:val="21"/>
              </w:rPr>
              <w:t xml:space="preserve">, </w:t>
            </w:r>
            <w:r>
              <w:rPr>
                <w:rFonts w:ascii="Consolas" w:cs="Consolas" w:eastAsia="Consolas" w:hAnsi="Consolas"/>
                <w:color w:val="14507B"/>
                <w:sz w:val="19"/>
                <w:szCs w:val="19"/>
              </w:rPr>
              <w:t xml:space="preserve">admin:admin</w:t>
            </w:r>
            <w:r>
              <w:rPr>
                <w:rFonts w:ascii="Calibri" w:cs="Calibri" w:eastAsia="Calibri" w:hAnsi="Calibri"/>
                <w:b w:val="false"/>
                <w:bCs w:val="false"/>
                <w:i w:val="false"/>
                <w:iCs w:val="false"/>
                <w:caps w:val="false"/>
                <w:color w:val="1B2733"/>
                <w:sz w:val="21"/>
                <w:szCs w:val="21"/>
              </w:rPr>
              <w:t xml:space="preserve"> (IHM), </w:t>
            </w:r>
            <w:r>
              <w:rPr>
                <w:rFonts w:ascii="Consolas" w:cs="Consolas" w:eastAsia="Consolas" w:hAnsi="Consolas"/>
                <w:color w:val="14507B"/>
                <w:sz w:val="19"/>
                <w:szCs w:val="19"/>
              </w:rPr>
              <w:t xml:space="preserve">root:root</w:t>
            </w:r>
            <w:r>
              <w:rPr>
                <w:rFonts w:ascii="Calibri" w:cs="Calibri" w:eastAsia="Calibri" w:hAnsi="Calibri"/>
                <w:b w:val="false"/>
                <w:bCs w:val="false"/>
                <w:i w:val="false"/>
                <w:iCs w:val="false"/>
                <w:caps w:val="false"/>
                <w:color w:val="1B2733"/>
                <w:sz w:val="21"/>
                <w:szCs w:val="21"/>
              </w:rPr>
              <w:t xml:space="preserve">/</w:t>
            </w:r>
            <w:r>
              <w:rPr>
                <w:rFonts w:ascii="Consolas" w:cs="Consolas" w:eastAsia="Consolas" w:hAnsi="Consolas"/>
                <w:color w:val="14507B"/>
                <w:sz w:val="19"/>
                <w:szCs w:val="19"/>
              </w:rPr>
              <w:t xml:space="preserve">scada:scada</w:t>
            </w:r>
            <w:r>
              <w:rPr>
                <w:rFonts w:ascii="Calibri" w:cs="Calibri" w:eastAsia="Calibri" w:hAnsi="Calibri"/>
                <w:b w:val="false"/>
                <w:bCs w:val="false"/>
                <w:i w:val="false"/>
                <w:iCs w:val="false"/>
                <w:caps w:val="false"/>
                <w:color w:val="1B2733"/>
                <w:sz w:val="21"/>
                <w:szCs w:val="21"/>
              </w:rPr>
              <w:t xml:space="preserve"> (base), </w:t>
            </w:r>
            <w:r>
              <w:rPr>
                <w:rFonts w:ascii="Consolas" w:cs="Consolas" w:eastAsia="Consolas" w:hAnsi="Consolas"/>
                <w:color w:val="14507B"/>
                <w:sz w:val="19"/>
                <w:szCs w:val="19"/>
              </w:rPr>
              <w:t xml:space="preserve">admin:admin</w:t>
            </w:r>
            <w:r>
              <w:rPr>
                <w:rFonts w:ascii="Calibri" w:cs="Calibri" w:eastAsia="Calibri" w:hAnsi="Calibri"/>
                <w:b w:val="false"/>
                <w:bCs w:val="false"/>
                <w:i w:val="false"/>
                <w:iCs w:val="false"/>
                <w:caps w:val="false"/>
                <w:color w:val="1B2733"/>
                <w:sz w:val="21"/>
                <w:szCs w:val="21"/>
              </w:rPr>
              <w:t xml:space="preserve"> (SIEM).</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Exploitation</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Connexion directe aux interfaces d'administration : c'est le compte </w:t>
            </w:r>
            <w:r>
              <w:rPr>
                <w:rFonts w:ascii="Consolas" w:cs="Consolas" w:eastAsia="Consolas" w:hAnsi="Consolas"/>
                <w:color w:val="14507B"/>
                <w:sz w:val="19"/>
                <w:szCs w:val="19"/>
              </w:rPr>
              <w:t xml:space="preserve">admin</w:t>
            </w:r>
            <w:r>
              <w:rPr>
                <w:rFonts w:ascii="Calibri" w:cs="Calibri" w:eastAsia="Calibri" w:hAnsi="Calibri"/>
                <w:b w:val="false"/>
                <w:bCs w:val="false"/>
                <w:i w:val="false"/>
                <w:iCs w:val="false"/>
                <w:caps w:val="false"/>
                <w:color w:val="1B2733"/>
                <w:sz w:val="21"/>
                <w:szCs w:val="21"/>
              </w:rPr>
              <w:t xml:space="preserve"> qui a permis de téléverser le programme piégé.</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Impact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Contrôle total de la chaîne de commande, sans imputabilité (aucun compte nominatif).</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ATT&amp;CK ICS</w:t>
            </w:r>
          </w:p>
        </w:tc>
        <w:tc>
          <w:tcPr>
            <w:tcW w:type="dxa" w:w="8100"/>
            <w:gridSpan w:val="2"/>
            <w:tcMar>
              <w:top w:type="dxa" w:w="50"/>
              <w:left w:type="dxa" w:w="90"/>
              <w:bottom w:type="dxa" w:w="50"/>
              <w:right w:type="dxa" w:w="90"/>
            </w:tcMar>
          </w:tcPr>
          <w:p>
            <w:pPr>
              <w:spacing w:after="0" w:line="250"/>
            </w:pPr>
            <w:r>
              <w:rPr>
                <w:rFonts w:ascii="Consolas" w:cs="Consolas" w:eastAsia="Consolas" w:hAnsi="Consolas"/>
                <w:color w:val="14507B"/>
                <w:sz w:val="19"/>
                <w:szCs w:val="19"/>
              </w:rPr>
              <w:t xml:space="preserve">T0859 Valid Accounts · T0812 Default Credentials</w:t>
            </w:r>
          </w:p>
        </w:tc>
      </w:tr>
    </w:tbl>
    <w:p>
      <w:pPr>
        <w:spacing w:after="120" w:before="0" w:line="276"/>
      </w:pPr>
      <w:r>
        <w:rPr>
          <w:rFonts w:ascii="Calibri" w:cs="Calibri" w:eastAsia="Calibri" w:hAnsi="Calibri"/>
          <w:b w:val="false"/>
          <w:bCs w:val="false"/>
          <w:i w:val="false"/>
          <w:iCs w:val="false"/>
          <w:caps w:val="false"/>
          <w:color w:val="1B2733"/>
          <w:sz w:val="21"/>
          <w:szCs w:val="21"/>
        </w:rPr>
        <w:t xml:space="preserve"/>
      </w:r>
    </w:p>
    <w:tbl>
      <w:tblPr>
        <w:tblW w:type="dxa" w:w="9600"/>
        <w:tblBorders>
          <w:top w:val="single" w:color="C7D0D8" w:sz="2"/>
          <w:left w:val="single" w:color="9E2A2A" w:sz="12"/>
          <w:bottom w:val="single" w:color="C7D0D8" w:sz="2"/>
          <w:right w:val="single" w:color="C7D0D8" w:sz="2"/>
          <w:insideH w:val="single" w:color="C7D0D8" w:sz="2"/>
          <w:insideV w:val="single" w:color="C7D0D8" w:sz="2"/>
        </w:tblBorders>
      </w:tblPr>
      <w:tblGrid>
        <w:gridCol w:w="1500"/>
        <w:gridCol w:w="6540"/>
        <w:gridCol w:w="1560"/>
      </w:tblGrid>
      <w:tr>
        <w:tc>
          <w:tcPr>
            <w:tcW w:type="dxa" w:w="1500"/>
            <w:shd w:fill="9E2A2A"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FFFFFF"/>
                <w:sz w:val="21"/>
                <w:szCs w:val="21"/>
              </w:rPr>
              <w:t xml:space="preserve">V3</w:t>
            </w:r>
          </w:p>
        </w:tc>
        <w:tc>
          <w:tcPr>
            <w:tcW w:type="dxa" w:w="6540"/>
            <w:shd w:fill="E7EEF4"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B2733"/>
                <w:sz w:val="22"/>
                <w:szCs w:val="22"/>
              </w:rPr>
              <w:t xml:space="preserve">Modbus/TCP sans authentification ni contrôle d'intégrité</w:t>
            </w:r>
          </w:p>
        </w:tc>
        <w:tc>
          <w:tcPr>
            <w:tcW w:type="dxa" w:w="1560"/>
            <w:shd w:fill="9E2A2A"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color w:val="FFFFFF"/>
                <w:sz w:val="17"/>
                <w:szCs w:val="17"/>
              </w:rPr>
              <w:t xml:space="preserve">Critique</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Constat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Le protocole ne porte ni identité, ni signature, ni horodatage. Les six esclaves et l'automate acceptent toute écriture de registre depuis n'importe quelle adresse.</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Exploitation</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Écriture directe des registres de commande de vannes avec </w:t>
            </w:r>
            <w:r>
              <w:rPr>
                <w:rFonts w:ascii="Consolas" w:cs="Consolas" w:eastAsia="Consolas" w:hAnsi="Consolas"/>
                <w:color w:val="14507B"/>
                <w:sz w:val="19"/>
                <w:szCs w:val="19"/>
              </w:rPr>
              <w:t xml:space="preserve">pymodbus</w:t>
            </w:r>
            <w:r>
              <w:rPr>
                <w:rFonts w:ascii="Calibri" w:cs="Calibri" w:eastAsia="Calibri" w:hAnsi="Calibri"/>
                <w:b w:val="false"/>
                <w:bCs w:val="false"/>
                <w:i w:val="false"/>
                <w:iCs w:val="false"/>
                <w:caps w:val="false"/>
                <w:color w:val="1B2733"/>
                <w:sz w:val="21"/>
                <w:szCs w:val="21"/>
              </w:rPr>
              <w:t xml:space="preserve"> ou le plugin Caldera, en contournant la régulation.</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Impact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Ouverture/fermeture arbitraire des vannes : montée en pression jusqu'à la rupture, sans qu'aucune mesure logicielle ne s'y oppose.</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ATT&amp;CK ICS</w:t>
            </w:r>
          </w:p>
        </w:tc>
        <w:tc>
          <w:tcPr>
            <w:tcW w:type="dxa" w:w="8100"/>
            <w:gridSpan w:val="2"/>
            <w:tcMar>
              <w:top w:type="dxa" w:w="50"/>
              <w:left w:type="dxa" w:w="90"/>
              <w:bottom w:type="dxa" w:w="50"/>
              <w:right w:type="dxa" w:w="90"/>
            </w:tcMar>
          </w:tcPr>
          <w:p>
            <w:pPr>
              <w:spacing w:after="0" w:line="250"/>
            </w:pPr>
            <w:r>
              <w:rPr>
                <w:rFonts w:ascii="Consolas" w:cs="Consolas" w:eastAsia="Consolas" w:hAnsi="Consolas"/>
                <w:color w:val="14507B"/>
                <w:sz w:val="19"/>
                <w:szCs w:val="19"/>
              </w:rPr>
              <w:t xml:space="preserve">T0855 Unauthorized Command · T0836 Modify Parameter · T0831 Manipulation of Control</w:t>
            </w:r>
          </w:p>
        </w:tc>
      </w:tr>
    </w:tbl>
    <w:p>
      <w:pPr>
        <w:spacing w:after="120" w:before="0" w:line="276"/>
      </w:pPr>
      <w:r>
        <w:rPr>
          <w:rFonts w:ascii="Calibri" w:cs="Calibri" w:eastAsia="Calibri" w:hAnsi="Calibri"/>
          <w:b w:val="false"/>
          <w:bCs w:val="false"/>
          <w:i w:val="false"/>
          <w:iCs w:val="false"/>
          <w:caps w:val="false"/>
          <w:color w:val="1B2733"/>
          <w:sz w:val="21"/>
          <w:szCs w:val="21"/>
        </w:rPr>
        <w:t xml:space="preserve"/>
      </w:r>
    </w:p>
    <w:tbl>
      <w:tblPr>
        <w:tblW w:type="dxa" w:w="9600"/>
        <w:tblBorders>
          <w:top w:val="single" w:color="C7D0D8" w:sz="2"/>
          <w:left w:val="single" w:color="9E2A2A" w:sz="12"/>
          <w:bottom w:val="single" w:color="C7D0D8" w:sz="2"/>
          <w:right w:val="single" w:color="C7D0D8" w:sz="2"/>
          <w:insideH w:val="single" w:color="C7D0D8" w:sz="2"/>
          <w:insideV w:val="single" w:color="C7D0D8" w:sz="2"/>
        </w:tblBorders>
      </w:tblPr>
      <w:tblGrid>
        <w:gridCol w:w="1500"/>
        <w:gridCol w:w="6540"/>
        <w:gridCol w:w="1560"/>
      </w:tblGrid>
      <w:tr>
        <w:tc>
          <w:tcPr>
            <w:tcW w:type="dxa" w:w="1500"/>
            <w:shd w:fill="9E2A2A"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FFFFFF"/>
                <w:sz w:val="21"/>
                <w:szCs w:val="21"/>
              </w:rPr>
              <w:t xml:space="preserve">V4</w:t>
            </w:r>
          </w:p>
        </w:tc>
        <w:tc>
          <w:tcPr>
            <w:tcW w:type="dxa" w:w="6540"/>
            <w:shd w:fill="E7EEF4"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B2733"/>
                <w:sz w:val="22"/>
                <w:szCs w:val="22"/>
              </w:rPr>
              <w:t xml:space="preserve">Dépôt de programme automate non contrôlé</w:t>
            </w:r>
          </w:p>
        </w:tc>
        <w:tc>
          <w:tcPr>
            <w:tcW w:type="dxa" w:w="1560"/>
            <w:shd w:fill="9E2A2A"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color w:val="FFFFFF"/>
                <w:sz w:val="17"/>
                <w:szCs w:val="17"/>
              </w:rPr>
              <w:t xml:space="preserve">Critique</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Constat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L'interface web (8080) permet de téléverser, compiler et exécuter un programme ST non signé, non versionné, non comparé à une référence ; aucun commutateur RUN/PROG matériel.</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Exploitation</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Étape qui a détruit le réacteur : ajout de </w:t>
            </w:r>
            <w:r>
              <w:rPr>
                <w:rFonts w:ascii="Consolas" w:cs="Consolas" w:eastAsia="Consolas" w:hAnsi="Consolas"/>
                <w:color w:val="14507B"/>
                <w:sz w:val="19"/>
                <w:szCs w:val="19"/>
              </w:rPr>
              <w:t xml:space="preserve">pressure_sp := 65535;</w:t>
            </w:r>
            <w:r>
              <w:rPr>
                <w:rFonts w:ascii="Calibri" w:cs="Calibri" w:eastAsia="Calibri" w:hAnsi="Calibri"/>
                <w:b w:val="false"/>
                <w:bCs w:val="false"/>
                <w:i w:val="false"/>
                <w:iCs w:val="false"/>
                <w:caps w:val="false"/>
                <w:color w:val="1B2733"/>
                <w:sz w:val="21"/>
                <w:szCs w:val="21"/>
              </w:rPr>
              <w:t xml:space="preserve">, saturation de la consigne, la vanne de purge ne s'ouvre plus, export </w:t>
            </w:r>
            <w:r>
              <w:rPr>
                <w:rFonts w:ascii="Consolas" w:cs="Consolas" w:eastAsia="Consolas" w:hAnsi="Consolas"/>
                <w:color w:val="14507B"/>
                <w:sz w:val="19"/>
                <w:szCs w:val="19"/>
              </w:rPr>
              <w:t xml:space="preserve">Attack.st</w:t>
            </w:r>
            <w:r>
              <w:rPr>
                <w:rFonts w:ascii="Calibri" w:cs="Calibri" w:eastAsia="Calibri" w:hAnsi="Calibri"/>
                <w:b w:val="false"/>
                <w:bCs w:val="false"/>
                <w:i w:val="false"/>
                <w:iCs w:val="false"/>
                <w:caps w:val="false"/>
                <w:color w:val="1B2733"/>
                <w:sz w:val="21"/>
                <w:szCs w:val="21"/>
              </w:rPr>
              <w:t xml:space="preserve">, téléversement, redémarrage → explosion.</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Impact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Persistance dans l'organe de commande ; la seule protection contre la surpression, retournée contre le procédé. Un redémarrage ne suffit pas.</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ATT&amp;CK ICS</w:t>
            </w:r>
          </w:p>
        </w:tc>
        <w:tc>
          <w:tcPr>
            <w:tcW w:type="dxa" w:w="8100"/>
            <w:gridSpan w:val="2"/>
            <w:tcMar>
              <w:top w:type="dxa" w:w="50"/>
              <w:left w:type="dxa" w:w="90"/>
              <w:bottom w:type="dxa" w:w="50"/>
              <w:right w:type="dxa" w:w="90"/>
            </w:tcMar>
          </w:tcPr>
          <w:p>
            <w:pPr>
              <w:spacing w:after="0" w:line="250"/>
            </w:pPr>
            <w:r>
              <w:rPr>
                <w:rFonts w:ascii="Consolas" w:cs="Consolas" w:eastAsia="Consolas" w:hAnsi="Consolas"/>
                <w:color w:val="14507B"/>
                <w:sz w:val="19"/>
                <w:szCs w:val="19"/>
              </w:rPr>
              <w:t xml:space="preserve">T0843 Program Download · T0889 Modify Program</w:t>
            </w:r>
          </w:p>
        </w:tc>
      </w:tr>
    </w:tbl>
    <w:p>
      <w:pPr>
        <w:spacing w:after="120" w:before="0" w:line="276"/>
      </w:pPr>
      <w:r>
        <w:rPr>
          <w:rFonts w:ascii="Calibri" w:cs="Calibri" w:eastAsia="Calibri" w:hAnsi="Calibri"/>
          <w:b w:val="false"/>
          <w:bCs w:val="false"/>
          <w:i w:val="false"/>
          <w:iCs w:val="false"/>
          <w:caps w:val="false"/>
          <w:color w:val="1B2733"/>
          <w:sz w:val="21"/>
          <w:szCs w:val="21"/>
        </w:rPr>
        <w:t xml:space="preserve"/>
      </w:r>
    </w:p>
    <w:tbl>
      <w:tblPr>
        <w:tblW w:type="dxa" w:w="9600"/>
        <w:tblBorders>
          <w:top w:val="single" w:color="C7D0D8" w:sz="2"/>
          <w:left w:val="single" w:color="9E2A2A" w:sz="12"/>
          <w:bottom w:val="single" w:color="C7D0D8" w:sz="2"/>
          <w:right w:val="single" w:color="C7D0D8" w:sz="2"/>
          <w:insideH w:val="single" w:color="C7D0D8" w:sz="2"/>
          <w:insideV w:val="single" w:color="C7D0D8" w:sz="2"/>
        </w:tblBorders>
      </w:tblPr>
      <w:tblGrid>
        <w:gridCol w:w="1500"/>
        <w:gridCol w:w="6540"/>
        <w:gridCol w:w="1560"/>
      </w:tblGrid>
      <w:tr>
        <w:tc>
          <w:tcPr>
            <w:tcW w:type="dxa" w:w="1500"/>
            <w:shd w:fill="9E2A2A"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FFFFFF"/>
                <w:sz w:val="21"/>
                <w:szCs w:val="21"/>
              </w:rPr>
              <w:t xml:space="preserve">V5</w:t>
            </w:r>
          </w:p>
        </w:tc>
        <w:tc>
          <w:tcPr>
            <w:tcW w:type="dxa" w:w="6540"/>
            <w:shd w:fill="E7EEF4"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B2733"/>
                <w:sz w:val="22"/>
                <w:szCs w:val="22"/>
              </w:rPr>
              <w:t xml:space="preserve">Usurpation ARP et interception des flux de conduite</w:t>
            </w:r>
          </w:p>
        </w:tc>
        <w:tc>
          <w:tcPr>
            <w:tcW w:type="dxa" w:w="1560"/>
            <w:shd w:fill="9E2A2A"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color w:val="FFFFFF"/>
                <w:sz w:val="17"/>
                <w:szCs w:val="17"/>
              </w:rPr>
              <w:t xml:space="preserve">Critique</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Constat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Réseaux plats et commutés sans inspection ARP dynamique ni 802.1X. Le poste attaquant embarque </w:t>
            </w:r>
            <w:r>
              <w:rPr>
                <w:rFonts w:ascii="Consolas" w:cs="Consolas" w:eastAsia="Consolas" w:hAnsi="Consolas"/>
                <w:color w:val="14507B"/>
                <w:sz w:val="19"/>
                <w:szCs w:val="19"/>
              </w:rPr>
              <w:t xml:space="preserve">dsniff/arpspoof</w:t>
            </w:r>
            <w:r>
              <w:rPr>
                <w:rFonts w:ascii="Calibri" w:cs="Calibri" w:eastAsia="Calibri" w:hAnsi="Calibri"/>
                <w:b w:val="false"/>
                <w:bCs w:val="false"/>
                <w:i w:val="false"/>
                <w:iCs w:val="false"/>
                <w:caps w:val="false"/>
                <w:color w:val="1B2733"/>
                <w:sz w:val="21"/>
                <w:szCs w:val="21"/>
              </w:rPr>
              <w:t xml:space="preserve">.</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Exploitation</w:t>
            </w:r>
          </w:p>
        </w:tc>
        <w:tc>
          <w:tcPr>
            <w:tcW w:type="dxa" w:w="8100"/>
            <w:gridSpan w:val="2"/>
            <w:tcMar>
              <w:top w:type="dxa" w:w="50"/>
              <w:left w:type="dxa" w:w="90"/>
              <w:bottom w:type="dxa" w:w="50"/>
              <w:right w:type="dxa" w:w="90"/>
            </w:tcMar>
          </w:tcPr>
          <w:p>
            <w:pPr>
              <w:spacing w:after="0" w:line="250"/>
            </w:pPr>
            <w:r>
              <w:rPr>
                <w:rFonts w:ascii="Consolas" w:cs="Consolas" w:eastAsia="Consolas" w:hAnsi="Consolas"/>
                <w:color w:val="14507B"/>
                <w:sz w:val="19"/>
                <w:szCs w:val="19"/>
              </w:rPr>
              <w:t xml:space="preserve">ip_forward=1</w:t>
            </w:r>
            <w:r>
              <w:rPr>
                <w:rFonts w:ascii="Calibri" w:cs="Calibri" w:eastAsia="Calibri" w:hAnsi="Calibri"/>
                <w:b w:val="false"/>
                <w:bCs w:val="false"/>
                <w:i w:val="false"/>
                <w:iCs w:val="false"/>
                <w:caps w:val="false"/>
                <w:color w:val="1B2733"/>
                <w:sz w:val="21"/>
                <w:szCs w:val="21"/>
              </w:rPr>
              <w:t xml:space="preserve"> puis </w:t>
            </w:r>
            <w:r>
              <w:rPr>
                <w:rFonts w:ascii="Consolas" w:cs="Consolas" w:eastAsia="Consolas" w:hAnsi="Consolas"/>
                <w:color w:val="14507B"/>
                <w:sz w:val="19"/>
                <w:szCs w:val="19"/>
              </w:rPr>
              <w:t xml:space="preserve">arpspoof</w:t>
            </w:r>
            <w:r>
              <w:rPr>
                <w:rFonts w:ascii="Calibri" w:cs="Calibri" w:eastAsia="Calibri" w:hAnsi="Calibri"/>
                <w:b w:val="false"/>
                <w:bCs w:val="false"/>
                <w:i w:val="false"/>
                <w:iCs w:val="false"/>
                <w:caps w:val="false"/>
                <w:color w:val="1B2733"/>
                <w:sz w:val="21"/>
                <w:szCs w:val="21"/>
              </w:rPr>
              <w:t xml:space="preserve"> croisé IHM↔automate ; Wireshark capture le Modbus en clair et révèle la zone OT.</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Impact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Perte de confiance dans la supervision : l'opérateur voit un procédé stable pendant la dérive réelle.</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ATT&amp;CK ICS</w:t>
            </w:r>
          </w:p>
        </w:tc>
        <w:tc>
          <w:tcPr>
            <w:tcW w:type="dxa" w:w="8100"/>
            <w:gridSpan w:val="2"/>
            <w:tcMar>
              <w:top w:type="dxa" w:w="50"/>
              <w:left w:type="dxa" w:w="90"/>
              <w:bottom w:type="dxa" w:w="50"/>
              <w:right w:type="dxa" w:w="90"/>
            </w:tcMar>
          </w:tcPr>
          <w:p>
            <w:pPr>
              <w:spacing w:after="0" w:line="250"/>
            </w:pPr>
            <w:r>
              <w:rPr>
                <w:rFonts w:ascii="Consolas" w:cs="Consolas" w:eastAsia="Consolas" w:hAnsi="Consolas"/>
                <w:color w:val="14507B"/>
                <w:sz w:val="19"/>
                <w:szCs w:val="19"/>
              </w:rPr>
              <w:t xml:space="preserve">T0830 Adversary-in-the-Middle · T0856 Spoof Reporting · T0832 Manipulation of View</w:t>
            </w:r>
          </w:p>
        </w:tc>
      </w:tr>
    </w:tbl>
    <w:p>
      <w:pPr>
        <w:spacing w:after="120" w:before="0" w:line="276"/>
      </w:pPr>
      <w:r>
        <w:rPr>
          <w:rFonts w:ascii="Calibri" w:cs="Calibri" w:eastAsia="Calibri" w:hAnsi="Calibri"/>
          <w:b w:val="false"/>
          <w:bCs w:val="false"/>
          <w:i w:val="false"/>
          <w:iCs w:val="false"/>
          <w:caps w:val="false"/>
          <w:color w:val="1B2733"/>
          <w:sz w:val="21"/>
          <w:szCs w:val="21"/>
        </w:rPr>
        <w:t xml:space="preserve"/>
      </w:r>
    </w:p>
    <w:tbl>
      <w:tblPr>
        <w:tblW w:type="dxa" w:w="9600"/>
        <w:tblBorders>
          <w:top w:val="single" w:color="C7D0D8" w:sz="2"/>
          <w:left w:val="single" w:color="8A5A0C" w:sz="12"/>
          <w:bottom w:val="single" w:color="C7D0D8" w:sz="2"/>
          <w:right w:val="single" w:color="C7D0D8" w:sz="2"/>
          <w:insideH w:val="single" w:color="C7D0D8" w:sz="2"/>
          <w:insideV w:val="single" w:color="C7D0D8" w:sz="2"/>
        </w:tblBorders>
      </w:tblPr>
      <w:tblGrid>
        <w:gridCol w:w="1500"/>
        <w:gridCol w:w="6540"/>
        <w:gridCol w:w="1560"/>
      </w:tblGrid>
      <w:tr>
        <w:tc>
          <w:tcPr>
            <w:tcW w:type="dxa" w:w="1500"/>
            <w:shd w:fill="8A5A0C"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FFFFFF"/>
                <w:sz w:val="21"/>
                <w:szCs w:val="21"/>
              </w:rPr>
              <w:t xml:space="preserve">V6</w:t>
            </w:r>
          </w:p>
        </w:tc>
        <w:tc>
          <w:tcPr>
            <w:tcW w:type="dxa" w:w="6540"/>
            <w:shd w:fill="E7EEF4"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B2733"/>
                <w:sz w:val="22"/>
                <w:szCs w:val="22"/>
              </w:rPr>
              <w:t xml:space="preserve">Administration en clair (HTTP, VNC)</w:t>
            </w:r>
          </w:p>
        </w:tc>
        <w:tc>
          <w:tcPr>
            <w:tcW w:type="dxa" w:w="1560"/>
            <w:shd w:fill="8A5A0C"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color w:val="FFFFFF"/>
                <w:sz w:val="17"/>
                <w:szCs w:val="17"/>
              </w:rPr>
              <w:t xml:space="preserve">Majeur</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Constat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Automate, IHM, pare-feu (5000), bureaux noVNC, visualisation : tout en HTTP. Cookie de session du pare-feu signé avec la clé par défaut.</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Exploitation</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Capture d'identifiants par écoute passive après ARP ; forge d'un cookie d'administration du pare-feu.</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Impact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Compromission des accès d'administration, y compris de l'équipement de filtrage.</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ATT&amp;CK ICS</w:t>
            </w:r>
          </w:p>
        </w:tc>
        <w:tc>
          <w:tcPr>
            <w:tcW w:type="dxa" w:w="8100"/>
            <w:gridSpan w:val="2"/>
            <w:tcMar>
              <w:top w:type="dxa" w:w="50"/>
              <w:left w:type="dxa" w:w="90"/>
              <w:bottom w:type="dxa" w:w="50"/>
              <w:right w:type="dxa" w:w="90"/>
            </w:tcMar>
          </w:tcPr>
          <w:p>
            <w:pPr>
              <w:spacing w:after="0" w:line="250"/>
            </w:pPr>
            <w:r>
              <w:rPr>
                <w:rFonts w:ascii="Consolas" w:cs="Consolas" w:eastAsia="Consolas" w:hAnsi="Consolas"/>
                <w:color w:val="14507B"/>
                <w:sz w:val="19"/>
                <w:szCs w:val="19"/>
              </w:rPr>
              <w:t xml:space="preserve">T0842 Network Sniffing</w:t>
            </w:r>
          </w:p>
        </w:tc>
      </w:tr>
    </w:tbl>
    <w:p>
      <w:pPr>
        <w:spacing w:after="120" w:before="0" w:line="276"/>
      </w:pPr>
      <w:r>
        <w:rPr>
          <w:rFonts w:ascii="Calibri" w:cs="Calibri" w:eastAsia="Calibri" w:hAnsi="Calibri"/>
          <w:b w:val="false"/>
          <w:bCs w:val="false"/>
          <w:i w:val="false"/>
          <w:iCs w:val="false"/>
          <w:caps w:val="false"/>
          <w:color w:val="1B2733"/>
          <w:sz w:val="21"/>
          <w:szCs w:val="21"/>
        </w:rPr>
        <w:t xml:space="preserve"/>
      </w:r>
    </w:p>
    <w:tbl>
      <w:tblPr>
        <w:tblW w:type="dxa" w:w="9600"/>
        <w:tblBorders>
          <w:top w:val="single" w:color="C7D0D8" w:sz="2"/>
          <w:left w:val="single" w:color="8A5A0C" w:sz="12"/>
          <w:bottom w:val="single" w:color="C7D0D8" w:sz="2"/>
          <w:right w:val="single" w:color="C7D0D8" w:sz="2"/>
          <w:insideH w:val="single" w:color="C7D0D8" w:sz="2"/>
          <w:insideV w:val="single" w:color="C7D0D8" w:sz="2"/>
        </w:tblBorders>
      </w:tblPr>
      <w:tblGrid>
        <w:gridCol w:w="1500"/>
        <w:gridCol w:w="6540"/>
        <w:gridCol w:w="1560"/>
      </w:tblGrid>
      <w:tr>
        <w:tc>
          <w:tcPr>
            <w:tcW w:type="dxa" w:w="1500"/>
            <w:shd w:fill="8A5A0C"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FFFFFF"/>
                <w:sz w:val="21"/>
                <w:szCs w:val="21"/>
              </w:rPr>
              <w:t xml:space="preserve">V7</w:t>
            </w:r>
          </w:p>
        </w:tc>
        <w:tc>
          <w:tcPr>
            <w:tcW w:type="dxa" w:w="6540"/>
            <w:shd w:fill="E7EEF4"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B2733"/>
                <w:sz w:val="22"/>
                <w:szCs w:val="22"/>
              </w:rPr>
              <w:t xml:space="preserve">Détection inopérante : IDS mal paramétré, zone OT non surveillée</w:t>
            </w:r>
          </w:p>
        </w:tc>
        <w:tc>
          <w:tcPr>
            <w:tcW w:type="dxa" w:w="1560"/>
            <w:shd w:fill="8A5A0C"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color w:val="FFFFFF"/>
                <w:sz w:val="17"/>
                <w:szCs w:val="17"/>
              </w:rPr>
              <w:t xml:space="preserve">Majeur</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Constat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Suricata n'écoute que la DMZ. Les règles Quickdraw « écriture Modbus non autorisée » sont </w:t>
            </w:r>
            <w:r>
              <w:rPr>
                <w:rFonts w:ascii="Consolas" w:cs="Consolas" w:eastAsia="Consolas" w:hAnsi="Consolas"/>
                <w:color w:val="14507B"/>
                <w:sz w:val="19"/>
                <w:szCs w:val="19"/>
              </w:rPr>
              <w:t xml:space="preserve">!$MODBUS_CLIENT</w:t>
            </w:r>
            <w:r>
              <w:rPr>
                <w:rFonts w:ascii="Calibri" w:cs="Calibri" w:eastAsia="Calibri" w:hAnsi="Calibri"/>
                <w:b w:val="false"/>
                <w:bCs w:val="false"/>
                <w:i w:val="false"/>
                <w:iCs w:val="false"/>
                <w:caps w:val="false"/>
                <w:color w:val="1B2733"/>
                <w:sz w:val="21"/>
                <w:szCs w:val="21"/>
              </w:rPr>
              <w:t xml:space="preserve"> avec la variable = </w:t>
            </w:r>
            <w:r>
              <w:rPr>
                <w:rFonts w:ascii="Consolas" w:cs="Consolas" w:eastAsia="Consolas" w:hAnsi="Consolas"/>
                <w:color w:val="14507B"/>
                <w:sz w:val="19"/>
                <w:szCs w:val="19"/>
              </w:rPr>
              <w:t xml:space="preserve">HOME_NET</w:t>
            </w:r>
            <w:r>
              <w:rPr>
                <w:rFonts w:ascii="Calibri" w:cs="Calibri" w:eastAsia="Calibri" w:hAnsi="Calibri"/>
                <w:b w:val="false"/>
                <w:bCs w:val="false"/>
                <w:i w:val="false"/>
                <w:iCs w:val="false"/>
                <w:caps w:val="false"/>
                <w:color w:val="1B2733"/>
                <w:sz w:val="21"/>
                <w:szCs w:val="21"/>
              </w:rPr>
              <w:t xml:space="preserve"> (tout le privé) : la règle ne se déclenche jamais.</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Exploitation</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Toutes les écritures Modbus malveillantes du TP n'ont généré aucune alerte.</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Impact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Aucune détection avant l'effet physique. Meilleur rapport coût/bénéfice du plan.</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ATT&amp;CK ICS</w:t>
            </w:r>
          </w:p>
        </w:tc>
        <w:tc>
          <w:tcPr>
            <w:tcW w:type="dxa" w:w="8100"/>
            <w:gridSpan w:val="2"/>
            <w:tcMar>
              <w:top w:type="dxa" w:w="50"/>
              <w:left w:type="dxa" w:w="90"/>
              <w:bottom w:type="dxa" w:w="50"/>
              <w:right w:type="dxa" w:w="90"/>
            </w:tcMar>
          </w:tcPr>
          <w:p>
            <w:pPr>
              <w:spacing w:after="0" w:line="250"/>
            </w:pPr>
            <w:r>
              <w:rPr>
                <w:rFonts w:ascii="Consolas" w:cs="Consolas" w:eastAsia="Consolas" w:hAnsi="Consolas"/>
                <w:color w:val="14507B"/>
                <w:sz w:val="19"/>
                <w:szCs w:val="19"/>
              </w:rPr>
              <w:t xml:space="preserve">Défaut de couverture — contre-mesure de T0855 / T0843</w:t>
            </w:r>
          </w:p>
        </w:tc>
      </w:tr>
    </w:tbl>
    <w:p>
      <w:pPr>
        <w:spacing w:after="120" w:before="0" w:line="276"/>
      </w:pPr>
      <w:r>
        <w:rPr>
          <w:rFonts w:ascii="Calibri" w:cs="Calibri" w:eastAsia="Calibri" w:hAnsi="Calibri"/>
          <w:b w:val="false"/>
          <w:bCs w:val="false"/>
          <w:i w:val="false"/>
          <w:iCs w:val="false"/>
          <w:caps w:val="false"/>
          <w:color w:val="1B2733"/>
          <w:sz w:val="21"/>
          <w:szCs w:val="21"/>
        </w:rPr>
        <w:t xml:space="preserve"/>
      </w:r>
    </w:p>
    <w:tbl>
      <w:tblPr>
        <w:tblW w:type="dxa" w:w="9600"/>
        <w:tblBorders>
          <w:top w:val="single" w:color="C7D0D8" w:sz="2"/>
          <w:left w:val="single" w:color="8A5A0C" w:sz="12"/>
          <w:bottom w:val="single" w:color="C7D0D8" w:sz="2"/>
          <w:right w:val="single" w:color="C7D0D8" w:sz="2"/>
          <w:insideH w:val="single" w:color="C7D0D8" w:sz="2"/>
          <w:insideV w:val="single" w:color="C7D0D8" w:sz="2"/>
        </w:tblBorders>
      </w:tblPr>
      <w:tblGrid>
        <w:gridCol w:w="1500"/>
        <w:gridCol w:w="6540"/>
        <w:gridCol w:w="1560"/>
      </w:tblGrid>
      <w:tr>
        <w:tc>
          <w:tcPr>
            <w:tcW w:type="dxa" w:w="1500"/>
            <w:shd w:fill="8A5A0C"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FFFFFF"/>
                <w:sz w:val="21"/>
                <w:szCs w:val="21"/>
              </w:rPr>
              <w:t xml:space="preserve">V8</w:t>
            </w:r>
          </w:p>
        </w:tc>
        <w:tc>
          <w:tcPr>
            <w:tcW w:type="dxa" w:w="6540"/>
            <w:shd w:fill="E7EEF4"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B2733"/>
                <w:sz w:val="22"/>
                <w:szCs w:val="22"/>
              </w:rPr>
              <w:t xml:space="preserve">Journalisation absente ou non centralisée</w:t>
            </w:r>
          </w:p>
        </w:tc>
        <w:tc>
          <w:tcPr>
            <w:tcW w:type="dxa" w:w="1560"/>
            <w:shd w:fill="8A5A0C"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color w:val="FFFFFF"/>
                <w:sz w:val="17"/>
                <w:szCs w:val="17"/>
              </w:rPr>
              <w:t xml:space="preserve">Majeur</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Constat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SIEM facultatif et désactivé ; deux agents seulement (routeur, IHM). Ni automate, ni poste d'ingénierie, ni simulation. Pas de source de temps commune.</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Exploitation</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Aucune trace du dépôt de programme ni des écritures Modbus ; analyse post-incident impossible.</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Impact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Ni détection, ni imputabilité, ni preuve pour une déclaration réglementaire.</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ATT&amp;CK ICS</w:t>
            </w:r>
          </w:p>
        </w:tc>
        <w:tc>
          <w:tcPr>
            <w:tcW w:type="dxa" w:w="8100"/>
            <w:gridSpan w:val="2"/>
            <w:tcMar>
              <w:top w:type="dxa" w:w="50"/>
              <w:left w:type="dxa" w:w="90"/>
              <w:bottom w:type="dxa" w:w="50"/>
              <w:right w:type="dxa" w:w="90"/>
            </w:tcMar>
          </w:tcPr>
          <w:p>
            <w:pPr>
              <w:spacing w:after="0" w:line="250"/>
            </w:pPr>
            <w:r>
              <w:rPr>
                <w:rFonts w:ascii="Consolas" w:cs="Consolas" w:eastAsia="Consolas" w:hAnsi="Consolas"/>
                <w:color w:val="14507B"/>
                <w:sz w:val="19"/>
                <w:szCs w:val="19"/>
              </w:rPr>
              <w:t xml:space="preserve">T0872 Indicator Removal on Host (facilité)</w:t>
            </w:r>
          </w:p>
        </w:tc>
      </w:tr>
    </w:tbl>
    <w:p>
      <w:pPr>
        <w:spacing w:after="120" w:before="0" w:line="276"/>
      </w:pPr>
      <w:r>
        <w:rPr>
          <w:rFonts w:ascii="Calibri" w:cs="Calibri" w:eastAsia="Calibri" w:hAnsi="Calibri"/>
          <w:b w:val="false"/>
          <w:bCs w:val="false"/>
          <w:i w:val="false"/>
          <w:iCs w:val="false"/>
          <w:caps w:val="false"/>
          <w:color w:val="1B2733"/>
          <w:sz w:val="21"/>
          <w:szCs w:val="21"/>
        </w:rPr>
        <w:t xml:space="preserve"/>
      </w:r>
    </w:p>
    <w:tbl>
      <w:tblPr>
        <w:tblW w:type="dxa" w:w="9600"/>
        <w:tblBorders>
          <w:top w:val="single" w:color="C7D0D8" w:sz="2"/>
          <w:left w:val="single" w:color="8A5A0C" w:sz="12"/>
          <w:bottom w:val="single" w:color="C7D0D8" w:sz="2"/>
          <w:right w:val="single" w:color="C7D0D8" w:sz="2"/>
          <w:insideH w:val="single" w:color="C7D0D8" w:sz="2"/>
          <w:insideV w:val="single" w:color="C7D0D8" w:sz="2"/>
        </w:tblBorders>
      </w:tblPr>
      <w:tblGrid>
        <w:gridCol w:w="1500"/>
        <w:gridCol w:w="6540"/>
        <w:gridCol w:w="1560"/>
      </w:tblGrid>
      <w:tr>
        <w:tc>
          <w:tcPr>
            <w:tcW w:type="dxa" w:w="1500"/>
            <w:shd w:fill="8A5A0C"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FFFFFF"/>
                <w:sz w:val="21"/>
                <w:szCs w:val="21"/>
              </w:rPr>
              <w:t xml:space="preserve">V9</w:t>
            </w:r>
          </w:p>
        </w:tc>
        <w:tc>
          <w:tcPr>
            <w:tcW w:type="dxa" w:w="6540"/>
            <w:shd w:fill="E7EEF4"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B2733"/>
                <w:sz w:val="22"/>
                <w:szCs w:val="22"/>
              </w:rPr>
              <w:t xml:space="preserve">Composants obsolètes et non corrigés</w:t>
            </w:r>
          </w:p>
        </w:tc>
        <w:tc>
          <w:tcPr>
            <w:tcW w:type="dxa" w:w="1560"/>
            <w:shd w:fill="8A5A0C"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color w:val="FFFFFF"/>
                <w:sz w:val="17"/>
                <w:szCs w:val="17"/>
              </w:rPr>
              <w:t xml:space="preserve">Majeur</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Constat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Automate sur Debian bullseye (fin de vie, dépôt de sécurité retiré). Scada-LTS 2.7.8.1 / Tomcat 9, SHA-1 non salé, mots de passe en clair en base. Aucun inventaire ni processus de correctifs.</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Exploitation</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Non exploité au TP, mais réservoir de failles pour une attaque ultérieure.</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Impact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Surface d'attaque croissante, maîtrise des versions non démontrable.</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ATT&amp;CK ICS</w:t>
            </w:r>
          </w:p>
        </w:tc>
        <w:tc>
          <w:tcPr>
            <w:tcW w:type="dxa" w:w="8100"/>
            <w:gridSpan w:val="2"/>
            <w:tcMar>
              <w:top w:type="dxa" w:w="50"/>
              <w:left w:type="dxa" w:w="90"/>
              <w:bottom w:type="dxa" w:w="50"/>
              <w:right w:type="dxa" w:w="90"/>
            </w:tcMar>
          </w:tcPr>
          <w:p>
            <w:pPr>
              <w:spacing w:after="0" w:line="250"/>
            </w:pPr>
            <w:r>
              <w:rPr>
                <w:rFonts w:ascii="Consolas" w:cs="Consolas" w:eastAsia="Consolas" w:hAnsi="Consolas"/>
                <w:color w:val="14507B"/>
                <w:sz w:val="19"/>
                <w:szCs w:val="19"/>
              </w:rPr>
              <w:t xml:space="preserve">T0866 Exploitation of Remote Services</w:t>
            </w:r>
          </w:p>
        </w:tc>
      </w:tr>
    </w:tbl>
    <w:p>
      <w:pPr>
        <w:spacing w:after="120" w:before="0" w:line="276"/>
      </w:pPr>
      <w:r>
        <w:rPr>
          <w:rFonts w:ascii="Calibri" w:cs="Calibri" w:eastAsia="Calibri" w:hAnsi="Calibri"/>
          <w:b w:val="false"/>
          <w:bCs w:val="false"/>
          <w:i w:val="false"/>
          <w:iCs w:val="false"/>
          <w:caps w:val="false"/>
          <w:color w:val="1B2733"/>
          <w:sz w:val="21"/>
          <w:szCs w:val="21"/>
        </w:rPr>
        <w:t xml:space="preserve"/>
      </w:r>
    </w:p>
    <w:tbl>
      <w:tblPr>
        <w:tblW w:type="dxa" w:w="9600"/>
        <w:tblBorders>
          <w:top w:val="single" w:color="C7D0D8" w:sz="2"/>
          <w:left w:val="single" w:color="8A5A0C" w:sz="12"/>
          <w:bottom w:val="single" w:color="C7D0D8" w:sz="2"/>
          <w:right w:val="single" w:color="C7D0D8" w:sz="2"/>
          <w:insideH w:val="single" w:color="C7D0D8" w:sz="2"/>
          <w:insideV w:val="single" w:color="C7D0D8" w:sz="2"/>
        </w:tblBorders>
      </w:tblPr>
      <w:tblGrid>
        <w:gridCol w:w="1500"/>
        <w:gridCol w:w="6540"/>
        <w:gridCol w:w="1560"/>
      </w:tblGrid>
      <w:tr>
        <w:tc>
          <w:tcPr>
            <w:tcW w:type="dxa" w:w="1500"/>
            <w:shd w:fill="8A5A0C"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FFFFFF"/>
                <w:sz w:val="21"/>
                <w:szCs w:val="21"/>
              </w:rPr>
              <w:t xml:space="preserve">V10</w:t>
            </w:r>
          </w:p>
        </w:tc>
        <w:tc>
          <w:tcPr>
            <w:tcW w:type="dxa" w:w="6540"/>
            <w:shd w:fill="E7EEF4"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B2733"/>
                <w:sz w:val="22"/>
                <w:szCs w:val="22"/>
              </w:rPr>
              <w:t xml:space="preserve">Réseau d'administration hors périmètre &amp; accès hyperviseur</w:t>
            </w:r>
          </w:p>
        </w:tc>
        <w:tc>
          <w:tcPr>
            <w:tcW w:type="dxa" w:w="1560"/>
            <w:shd w:fill="8A5A0C"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color w:val="FFFFFF"/>
                <w:sz w:val="17"/>
                <w:szCs w:val="17"/>
              </w:rPr>
              <w:t xml:space="preserve">Majeur</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Constat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Un réseau d'admin commun relie tous les équipements des deux zones sans passer par le pare-feu. La simulation monte </w:t>
            </w:r>
            <w:r>
              <w:rPr>
                <w:rFonts w:ascii="Consolas" w:cs="Consolas" w:eastAsia="Consolas" w:hAnsi="Consolas"/>
                <w:color w:val="14507B"/>
                <w:sz w:val="19"/>
                <w:szCs w:val="19"/>
              </w:rPr>
              <w:t xml:space="preserve">/var/run/docker.sock</w:t>
            </w:r>
            <w:r>
              <w:rPr>
                <w:rFonts w:ascii="Calibri" w:cs="Calibri" w:eastAsia="Calibri" w:hAnsi="Calibri"/>
                <w:b w:val="false"/>
                <w:bCs w:val="false"/>
                <w:i w:val="false"/>
                <w:iCs w:val="false"/>
                <w:caps w:val="false"/>
                <w:color w:val="1B2733"/>
                <w:sz w:val="21"/>
                <w:szCs w:val="21"/>
              </w:rPr>
              <w:t xml:space="preserve">.</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Exploitation</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Contournement du filtrage ; depuis la simulation, contrôle de l'hôte et de tous les conteneurs.</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Impact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Tout l'effort de segmentation devient caduc si ce canal subsiste.</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ATT&amp;CK ICS</w:t>
            </w:r>
          </w:p>
        </w:tc>
        <w:tc>
          <w:tcPr>
            <w:tcW w:type="dxa" w:w="8100"/>
            <w:gridSpan w:val="2"/>
            <w:tcMar>
              <w:top w:type="dxa" w:w="50"/>
              <w:left w:type="dxa" w:w="90"/>
              <w:bottom w:type="dxa" w:w="50"/>
              <w:right w:type="dxa" w:w="90"/>
            </w:tcMar>
          </w:tcPr>
          <w:p>
            <w:pPr>
              <w:spacing w:after="0" w:line="250"/>
            </w:pPr>
            <w:r>
              <w:rPr>
                <w:rFonts w:ascii="Consolas" w:cs="Consolas" w:eastAsia="Consolas" w:hAnsi="Consolas"/>
                <w:color w:val="14507B"/>
                <w:sz w:val="19"/>
                <w:szCs w:val="19"/>
              </w:rPr>
              <w:t xml:space="preserve">T0812 Default Credentials · évasion de conteneur</w:t>
            </w:r>
          </w:p>
        </w:tc>
      </w:tr>
    </w:tbl>
    <w:p>
      <w:pPr>
        <w:spacing w:after="120" w:before="0" w:line="276"/>
      </w:pPr>
      <w:r>
        <w:rPr>
          <w:rFonts w:ascii="Calibri" w:cs="Calibri" w:eastAsia="Calibri" w:hAnsi="Calibri"/>
          <w:b w:val="false"/>
          <w:bCs w:val="false"/>
          <w:i w:val="false"/>
          <w:iCs w:val="false"/>
          <w:caps w:val="false"/>
          <w:color w:val="1B2733"/>
          <w:sz w:val="21"/>
          <w:szCs w:val="21"/>
        </w:rPr>
        <w:t xml:space="preserve"/>
      </w:r>
    </w:p>
    <w:tbl>
      <w:tblPr>
        <w:tblW w:type="dxa" w:w="9600"/>
        <w:tblBorders>
          <w:top w:val="single" w:color="C7D0D8" w:sz="2"/>
          <w:left w:val="single" w:color="14507B" w:sz="12"/>
          <w:bottom w:val="single" w:color="C7D0D8" w:sz="2"/>
          <w:right w:val="single" w:color="C7D0D8" w:sz="2"/>
          <w:insideH w:val="single" w:color="C7D0D8" w:sz="2"/>
          <w:insideV w:val="single" w:color="C7D0D8" w:sz="2"/>
        </w:tblBorders>
      </w:tblPr>
      <w:tblGrid>
        <w:gridCol w:w="1500"/>
        <w:gridCol w:w="6540"/>
        <w:gridCol w:w="1560"/>
      </w:tblGrid>
      <w:tr>
        <w:tc>
          <w:tcPr>
            <w:tcW w:type="dxa" w:w="15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FFFFFF"/>
                <w:sz w:val="21"/>
                <w:szCs w:val="21"/>
              </w:rPr>
              <w:t xml:space="preserve">V11</w:t>
            </w:r>
          </w:p>
        </w:tc>
        <w:tc>
          <w:tcPr>
            <w:tcW w:type="dxa" w:w="6540"/>
            <w:shd w:fill="E7EEF4"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B2733"/>
                <w:sz w:val="22"/>
                <w:szCs w:val="22"/>
              </w:rPr>
              <w:t xml:space="preserve">Outillage offensif hébergé en production</w:t>
            </w:r>
          </w:p>
        </w:tc>
        <w:tc>
          <w:tcPr>
            <w:tcW w:type="dxa" w:w="1560"/>
            <w:shd w:fill="14507B"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color w:val="FFFFFF"/>
                <w:sz w:val="17"/>
                <w:szCs w:val="17"/>
              </w:rPr>
              <w:t xml:space="preserve">Modéré</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Constat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Poste Kali et serveur Caldera (plugin Modbus) raccordés en permanence à la DMZ, identifiants publics.</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Exploitation</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L'attaquant n'a pas eu à apporter ses outils : ils étaient déjà sur le réseau.</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Impact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Coût d'entrée d'une attaque réduit, inventaire des actifs pollué.</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ATT&amp;CK ICS</w:t>
            </w:r>
          </w:p>
        </w:tc>
        <w:tc>
          <w:tcPr>
            <w:tcW w:type="dxa" w:w="8100"/>
            <w:gridSpan w:val="2"/>
            <w:tcMar>
              <w:top w:type="dxa" w:w="50"/>
              <w:left w:type="dxa" w:w="90"/>
              <w:bottom w:type="dxa" w:w="50"/>
              <w:right w:type="dxa" w:w="90"/>
            </w:tcMar>
          </w:tcPr>
          <w:p>
            <w:pPr>
              <w:spacing w:after="0" w:line="250"/>
            </w:pPr>
            <w:r>
              <w:rPr>
                <w:rFonts w:ascii="Consolas" w:cs="Consolas" w:eastAsia="Consolas" w:hAnsi="Consolas"/>
                <w:color w:val="14507B"/>
                <w:sz w:val="19"/>
                <w:szCs w:val="19"/>
              </w:rPr>
              <w:t xml:space="preserve">T0862 Supply Chain Compromise (analogie)</w:t>
            </w:r>
          </w:p>
        </w:tc>
      </w:tr>
    </w:tbl>
    <w:p>
      <w:pPr>
        <w:spacing w:after="120" w:before="0" w:line="276"/>
      </w:pPr>
      <w:r>
        <w:rPr>
          <w:rFonts w:ascii="Calibri" w:cs="Calibri" w:eastAsia="Calibri" w:hAnsi="Calibri"/>
          <w:b w:val="false"/>
          <w:bCs w:val="false"/>
          <w:i w:val="false"/>
          <w:iCs w:val="false"/>
          <w:caps w:val="false"/>
          <w:color w:val="1B2733"/>
          <w:sz w:val="21"/>
          <w:szCs w:val="21"/>
        </w:rPr>
        <w:t xml:space="preserve"/>
      </w:r>
    </w:p>
    <w:tbl>
      <w:tblPr>
        <w:tblW w:type="dxa" w:w="9600"/>
        <w:tblBorders>
          <w:top w:val="single" w:color="C7D0D8" w:sz="2"/>
          <w:left w:val="single" w:color="9E2A2A" w:sz="12"/>
          <w:bottom w:val="single" w:color="C7D0D8" w:sz="2"/>
          <w:right w:val="single" w:color="C7D0D8" w:sz="2"/>
          <w:insideH w:val="single" w:color="C7D0D8" w:sz="2"/>
          <w:insideV w:val="single" w:color="C7D0D8" w:sz="2"/>
        </w:tblBorders>
      </w:tblPr>
      <w:tblGrid>
        <w:gridCol w:w="1500"/>
        <w:gridCol w:w="6540"/>
        <w:gridCol w:w="1560"/>
      </w:tblGrid>
      <w:tr>
        <w:tc>
          <w:tcPr>
            <w:tcW w:type="dxa" w:w="1500"/>
            <w:shd w:fill="9E2A2A"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FFFFFF"/>
                <w:sz w:val="21"/>
                <w:szCs w:val="21"/>
              </w:rPr>
              <w:t xml:space="preserve">V12</w:t>
            </w:r>
          </w:p>
        </w:tc>
        <w:tc>
          <w:tcPr>
            <w:tcW w:type="dxa" w:w="6540"/>
            <w:shd w:fill="E7EEF4"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B2733"/>
                <w:sz w:val="22"/>
                <w:szCs w:val="22"/>
              </w:rPr>
              <w:t xml:space="preserve">Aucune barrière de sécurité indépendante du système de conduite</w:t>
            </w:r>
          </w:p>
        </w:tc>
        <w:tc>
          <w:tcPr>
            <w:tcW w:type="dxa" w:w="1560"/>
            <w:shd w:fill="9E2A2A"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color w:val="FFFFFF"/>
                <w:sz w:val="17"/>
                <w:szCs w:val="17"/>
              </w:rPr>
              <w:t xml:space="preserve">Critique</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Constat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La seule protection contre la surpression est la logique de l'automate — précisément l'organe contrôlé par l'attaquant. Ni capteur indépendant, ni automate de sécurité, ni interlock câblé, ni organe de décharge.</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Exploitation</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La compromission de l'automate suffit à conduire le procédé jusqu'à la destruction.</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Impact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Conséquences humaines et environnementales, au-delà du coût d'indisponibilité. Fondement du plan de contingence.</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ATT&amp;CK ICS</w:t>
            </w:r>
          </w:p>
        </w:tc>
        <w:tc>
          <w:tcPr>
            <w:tcW w:type="dxa" w:w="8100"/>
            <w:gridSpan w:val="2"/>
            <w:tcMar>
              <w:top w:type="dxa" w:w="50"/>
              <w:left w:type="dxa" w:w="90"/>
              <w:bottom w:type="dxa" w:w="50"/>
              <w:right w:type="dxa" w:w="90"/>
            </w:tcMar>
          </w:tcPr>
          <w:p>
            <w:pPr>
              <w:spacing w:after="0" w:line="250"/>
            </w:pPr>
            <w:r>
              <w:rPr>
                <w:rFonts w:ascii="Consolas" w:cs="Consolas" w:eastAsia="Consolas" w:hAnsi="Consolas"/>
                <w:color w:val="14507B"/>
                <w:sz w:val="19"/>
                <w:szCs w:val="19"/>
              </w:rPr>
              <w:t xml:space="preserve">T0880 Loss of Safety · T0879 Damage to Property</w:t>
            </w:r>
          </w:p>
        </w:tc>
      </w:tr>
    </w:tbl>
    <w:p>
      <w:pPr>
        <w:spacing w:after="120" w:before="0" w:line="276"/>
      </w:pPr>
      <w:r>
        <w:rPr>
          <w:rFonts w:ascii="Calibri" w:cs="Calibri" w:eastAsia="Calibri" w:hAnsi="Calibri"/>
          <w:b w:val="false"/>
          <w:bCs w:val="false"/>
          <w:i w:val="false"/>
          <w:iCs w:val="false"/>
          <w:caps w:val="false"/>
          <w:color w:val="1B2733"/>
          <w:sz w:val="21"/>
          <w:szCs w:val="21"/>
        </w:rPr>
        <w:t xml:space="preserve"/>
      </w:r>
    </w:p>
    <w:tbl>
      <w:tblPr>
        <w:tblW w:type="dxa" w:w="9600"/>
        <w:tblBorders>
          <w:top w:val="single" w:color="C7D0D8" w:sz="2"/>
          <w:left w:val="single" w:color="14507B" w:sz="12"/>
          <w:bottom w:val="single" w:color="C7D0D8" w:sz="2"/>
          <w:right w:val="single" w:color="C7D0D8" w:sz="2"/>
          <w:insideH w:val="single" w:color="C7D0D8" w:sz="2"/>
          <w:insideV w:val="single" w:color="C7D0D8" w:sz="2"/>
        </w:tblBorders>
      </w:tblPr>
      <w:tblGrid>
        <w:gridCol w:w="1500"/>
        <w:gridCol w:w="6540"/>
        <w:gridCol w:w="1560"/>
      </w:tblGrid>
      <w:tr>
        <w:tc>
          <w:tcPr>
            <w:tcW w:type="dxa" w:w="15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FFFFFF"/>
                <w:sz w:val="21"/>
                <w:szCs w:val="21"/>
              </w:rPr>
              <w:t xml:space="preserve">V13</w:t>
            </w:r>
          </w:p>
        </w:tc>
        <w:tc>
          <w:tcPr>
            <w:tcW w:type="dxa" w:w="6540"/>
            <w:shd w:fill="E7EEF4"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B2733"/>
                <w:sz w:val="22"/>
                <w:szCs w:val="22"/>
              </w:rPr>
              <w:t xml:space="preserve">Hygiène physique et organisationnelle</w:t>
            </w:r>
          </w:p>
        </w:tc>
        <w:tc>
          <w:tcPr>
            <w:tcW w:type="dxa" w:w="1560"/>
            <w:shd w:fill="14507B"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color w:val="FFFFFF"/>
                <w:sz w:val="17"/>
                <w:szCs w:val="17"/>
              </w:rPr>
              <w:t xml:space="preserve">Modéré</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Constat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Relevés au TP : badge disponible et porte mal fermée, mots de passe dans une poubelle, IHM sans authentification, armoire électrique ouverte, routeur personnel branché, fontaine à eau adossée à un local électrique. Aucune séparation IT/OT.</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Exploitation</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Point de départ réel : mots de passe du routeur et de l'automate obtenus physiquement, avant toute action réseau.</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Impact</w:t>
            </w:r>
          </w:p>
        </w:tc>
        <w:tc>
          <w:tcPr>
            <w:tcW w:type="dxa" w:w="8100"/>
            <w:gridSpan w:val="2"/>
            <w:tcMar>
              <w:top w:type="dxa" w:w="50"/>
              <w:left w:type="dxa" w:w="90"/>
              <w:bottom w:type="dxa" w:w="50"/>
              <w:right w:type="dxa" w:w="90"/>
            </w:tcMar>
          </w:tcPr>
          <w:p>
            <w:pPr>
              <w:spacing w:after="0" w:line="250"/>
            </w:pPr>
            <w:r>
              <w:rPr>
                <w:rFonts w:ascii="Calibri" w:cs="Calibri" w:eastAsia="Calibri" w:hAnsi="Calibri"/>
                <w:b w:val="false"/>
                <w:bCs w:val="false"/>
                <w:i w:val="false"/>
                <w:iCs w:val="false"/>
                <w:caps w:val="false"/>
                <w:color w:val="1B2733"/>
                <w:sz w:val="21"/>
                <w:szCs w:val="21"/>
              </w:rPr>
              <w:t xml:space="preserve">Contournement de toutes les mesures logiques.</w:t>
            </w:r>
          </w:p>
        </w:tc>
      </w:tr>
      <w:tr>
        <w:tc>
          <w:tcPr>
            <w:tcW w:type="dxa" w:w="15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5A6B78"/>
                <w:sz w:val="16"/>
                <w:szCs w:val="16"/>
              </w:rPr>
              <w:t xml:space="preserve">ATT&amp;CK ICS</w:t>
            </w:r>
          </w:p>
        </w:tc>
        <w:tc>
          <w:tcPr>
            <w:tcW w:type="dxa" w:w="8100"/>
            <w:gridSpan w:val="2"/>
            <w:tcMar>
              <w:top w:type="dxa" w:w="50"/>
              <w:left w:type="dxa" w:w="90"/>
              <w:bottom w:type="dxa" w:w="50"/>
              <w:right w:type="dxa" w:w="90"/>
            </w:tcMar>
          </w:tcPr>
          <w:p>
            <w:pPr>
              <w:spacing w:after="0" w:line="250"/>
            </w:pPr>
            <w:r>
              <w:rPr>
                <w:rFonts w:ascii="Consolas" w:cs="Consolas" w:eastAsia="Consolas" w:hAnsi="Consolas"/>
                <w:color w:val="14507B"/>
                <w:sz w:val="19"/>
                <w:szCs w:val="19"/>
              </w:rPr>
              <w:t xml:space="preserve">T0864 Transient Cyber Asset · T0847 Removable Media</w:t>
            </w:r>
          </w:p>
        </w:tc>
      </w:tr>
    </w:tbl>
    <w:p>
      <w:pPr>
        <w:spacing w:after="100" w:before="0" w:line="276"/>
      </w:pPr>
      <w:r>
        <w:rPr>
          <w:rFonts w:ascii="Calibri" w:cs="Calibri" w:eastAsia="Calibri" w:hAnsi="Calibri"/>
          <w:b w:val="false"/>
          <w:bCs w:val="false"/>
          <w:i w:val="false"/>
          <w:iCs w:val="false"/>
          <w:caps w:val="false"/>
          <w:color w:val="1B2733"/>
          <w:sz w:val="21"/>
          <w:szCs w:val="21"/>
        </w:rPr>
        <w:t xml:space="preserve"/>
      </w:r>
    </w:p>
    <w:p>
      <w:pPr>
        <w:pStyle w:val="Heading2"/>
        <w:keepNext/>
        <w:spacing w:after="100" w:before="220"/>
      </w:pPr>
      <w:r>
        <w:rPr>
          <w:rFonts w:ascii="Calibri" w:cs="Calibri" w:eastAsia="Calibri" w:hAnsi="Calibri"/>
          <w:b/>
          <w:bCs/>
          <w:color w:val="33475B"/>
          <w:sz w:val="24"/>
          <w:szCs w:val="24"/>
        </w:rPr>
        <w:t xml:space="preserve">Les 9 vulnérabilités physiques relevées sur site</w:t>
      </w:r>
    </w:p>
    <w:p>
      <w:pPr>
        <w:spacing w:after="120" w:before="0" w:line="276"/>
      </w:pPr>
      <w:r>
        <w:rPr>
          <w:rFonts w:ascii="Calibri" w:cs="Calibri" w:eastAsia="Calibri" w:hAnsi="Calibri"/>
          <w:b w:val="false"/>
          <w:bCs w:val="false"/>
          <w:i w:val="false"/>
          <w:iCs w:val="false"/>
          <w:caps w:val="false"/>
          <w:color w:val="1B2733"/>
          <w:sz w:val="21"/>
          <w:szCs w:val="21"/>
        </w:rPr>
        <w:t xml:space="preserve">Relevées à l'identique par les trois binômes lors de la visite (V13). Elles ne coûtent presque rien à corriger et constituent la première ligne de défense : sans elles, tout l'effort logique et logiciel peut être contourné en quelques minutes d'accès physique.</w:t>
      </w:r>
    </w:p>
    <w:tbl>
      <w:tblPr>
        <w:tblW w:type="dxa" w:w="9600"/>
        <w:tblBorders>
          <w:top w:val="single" w:color="C7D0D8" w:sz="2"/>
          <w:left w:val="single" w:color="C7D0D8" w:sz="2"/>
          <w:bottom w:val="single" w:color="C7D0D8" w:sz="2"/>
          <w:right w:val="single" w:color="C7D0D8" w:sz="2"/>
          <w:insideH w:val="single" w:color="C7D0D8" w:sz="2"/>
          <w:insideV w:val="single" w:color="C7D0D8" w:sz="2"/>
        </w:tblBorders>
      </w:tblPr>
      <w:tblGrid>
        <w:gridCol w:w="600"/>
        <w:gridCol w:w="4400"/>
        <w:gridCol w:w="3600"/>
        <w:gridCol w:w="1000"/>
      </w:tblGrid>
      <w:tr>
        <w:trPr>
          <w:tblHeader/>
        </w:trPr>
        <w:tc>
          <w:tcPr>
            <w:tcW w:type="dxa" w:w="6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w:t>
            </w:r>
          </w:p>
        </w:tc>
        <w:tc>
          <w:tcPr>
            <w:tcW w:type="dxa" w:w="44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Vulnérabilité constatée</w:t>
            </w:r>
          </w:p>
        </w:tc>
        <w:tc>
          <w:tcPr>
            <w:tcW w:type="dxa" w:w="36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Correctif proposé</w:t>
            </w:r>
          </w:p>
        </w:tc>
        <w:tc>
          <w:tcPr>
            <w:tcW w:type="dxa" w:w="10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Nature</w:t>
            </w:r>
          </w:p>
        </w:tc>
      </w:tr>
      <w:tr>
        <w:tc>
          <w:tcPr>
            <w:tcW w:type="dxa" w:w="600"/>
            <w:shd w:fill="F2F5F7"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1B2733"/>
                <w:sz w:val="21"/>
                <w:szCs w:val="21"/>
              </w:rPr>
              <w:t xml:space="preserve">1</w:t>
            </w:r>
          </w:p>
        </w:tc>
        <w:tc>
          <w:tcPr>
            <w:tcW w:type="dxa" w:w="44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Porte sécurisée par lecteur de carte, maintenue ouverte par un parpaing</w:t>
            </w:r>
          </w:p>
        </w:tc>
        <w:tc>
          <w:tcPr>
            <w:tcW w:type="dxa" w:w="36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Capteur de porte maintenue ouverte + alarme, ferme-porte, sensibilisation</w:t>
            </w:r>
          </w:p>
        </w:tc>
        <w:tc>
          <w:tcPr>
            <w:tcW w:type="dxa" w:w="10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6"/>
                <w:szCs w:val="16"/>
              </w:rPr>
              <w:t xml:space="preserve">Organis.</w:t>
            </w:r>
          </w:p>
        </w:tc>
      </w:tr>
      <w:tr>
        <w:tc>
          <w:tcPr>
            <w:tcW w:type="dxa" w:w="600"/>
            <w:shd w:fill="F2F5F7"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1B2733"/>
                <w:sz w:val="21"/>
                <w:szCs w:val="21"/>
              </w:rPr>
              <w:t xml:space="preserve">2</w:t>
            </w:r>
          </w:p>
        </w:tc>
        <w:tc>
          <w:tcPr>
            <w:tcW w:type="dxa" w:w="44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Mot de passe affiché sur un post-it</w:t>
            </w:r>
          </w:p>
        </w:tc>
        <w:tc>
          <w:tcPr>
            <w:tcW w:type="dxa" w:w="36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Coffre-fort de secrets, politique « clean desk », affiches de rappel</w:t>
            </w:r>
          </w:p>
        </w:tc>
        <w:tc>
          <w:tcPr>
            <w:tcW w:type="dxa" w:w="10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6"/>
                <w:szCs w:val="16"/>
              </w:rPr>
              <w:t xml:space="preserve">Organis.</w:t>
            </w:r>
          </w:p>
        </w:tc>
      </w:tr>
      <w:tr>
        <w:tc>
          <w:tcPr>
            <w:tcW w:type="dxa" w:w="600"/>
            <w:shd w:fill="F2F5F7"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1B2733"/>
                <w:sz w:val="21"/>
                <w:szCs w:val="21"/>
              </w:rPr>
              <w:t xml:space="preserve">3</w:t>
            </w:r>
          </w:p>
        </w:tc>
        <w:tc>
          <w:tcPr>
            <w:tcW w:type="dxa" w:w="44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Second mot de passe sur post-it</w:t>
            </w:r>
          </w:p>
        </w:tc>
        <w:tc>
          <w:tcPr>
            <w:tcW w:type="dxa" w:w="36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Proscrire tout secret sur papier, rotation des mots de passe exposés</w:t>
            </w:r>
          </w:p>
        </w:tc>
        <w:tc>
          <w:tcPr>
            <w:tcW w:type="dxa" w:w="10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6"/>
                <w:szCs w:val="16"/>
              </w:rPr>
              <w:t xml:space="preserve">Organis.</w:t>
            </w:r>
          </w:p>
        </w:tc>
      </w:tr>
      <w:tr>
        <w:tc>
          <w:tcPr>
            <w:tcW w:type="dxa" w:w="600"/>
            <w:shd w:fill="F2F5F7"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1B2733"/>
                <w:sz w:val="21"/>
                <w:szCs w:val="21"/>
              </w:rPr>
              <w:t xml:space="preserve">4</w:t>
            </w:r>
          </w:p>
        </w:tc>
        <w:tc>
          <w:tcPr>
            <w:tcW w:type="dxa" w:w="44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Carte d'accès (badge) laissée sur le bureau</w:t>
            </w:r>
          </w:p>
        </w:tc>
        <w:tc>
          <w:tcPr>
            <w:tcW w:type="dxa" w:w="36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Port du badge obligatoire et personnel, désactivation en cas de perte</w:t>
            </w:r>
          </w:p>
        </w:tc>
        <w:tc>
          <w:tcPr>
            <w:tcW w:type="dxa" w:w="10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6"/>
                <w:szCs w:val="16"/>
              </w:rPr>
              <w:t xml:space="preserve">Organis.</w:t>
            </w:r>
          </w:p>
        </w:tc>
      </w:tr>
      <w:tr>
        <w:tc>
          <w:tcPr>
            <w:tcW w:type="dxa" w:w="600"/>
            <w:shd w:fill="F2F5F7"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1B2733"/>
                <w:sz w:val="21"/>
                <w:szCs w:val="21"/>
              </w:rPr>
              <w:t xml:space="preserve">5</w:t>
            </w:r>
          </w:p>
        </w:tc>
        <w:tc>
          <w:tcPr>
            <w:tcW w:type="dxa" w:w="44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Routeur en libre accès</w:t>
            </w:r>
          </w:p>
        </w:tc>
        <w:tc>
          <w:tcPr>
            <w:tcW w:type="dxa" w:w="36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Armoire réseau verrouillée, ports inutilisés désactivés, port-security</w:t>
            </w:r>
          </w:p>
        </w:tc>
        <w:tc>
          <w:tcPr>
            <w:tcW w:type="dxa" w:w="10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6"/>
                <w:szCs w:val="16"/>
              </w:rPr>
              <w:t xml:space="preserve">Physique</w:t>
            </w:r>
          </w:p>
        </w:tc>
      </w:tr>
      <w:tr>
        <w:tc>
          <w:tcPr>
            <w:tcW w:type="dxa" w:w="600"/>
            <w:shd w:fill="F2F5F7"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1B2733"/>
                <w:sz w:val="21"/>
                <w:szCs w:val="21"/>
              </w:rPr>
              <w:t xml:space="preserve">6</w:t>
            </w:r>
          </w:p>
        </w:tc>
        <w:tc>
          <w:tcPr>
            <w:tcW w:type="dxa" w:w="44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Automate (PLC) laissé ouvert / accessible</w:t>
            </w:r>
          </w:p>
        </w:tc>
        <w:tc>
          <w:tcPr>
            <w:tcW w:type="dxa" w:w="36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Armoire verrouillée à clé, commutateur RUN/PROG physique, zone contrôlée</w:t>
            </w:r>
          </w:p>
        </w:tc>
        <w:tc>
          <w:tcPr>
            <w:tcW w:type="dxa" w:w="10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6"/>
                <w:szCs w:val="16"/>
              </w:rPr>
              <w:t xml:space="preserve">Physique</w:t>
            </w:r>
          </w:p>
        </w:tc>
      </w:tr>
      <w:tr>
        <w:tc>
          <w:tcPr>
            <w:tcW w:type="dxa" w:w="600"/>
            <w:shd w:fill="F2F5F7"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1B2733"/>
                <w:sz w:val="21"/>
                <w:szCs w:val="21"/>
              </w:rPr>
              <w:t xml:space="preserve">7</w:t>
            </w:r>
          </w:p>
        </w:tc>
        <w:tc>
          <w:tcPr>
            <w:tcW w:type="dxa" w:w="44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IHM utilisable sans authentification</w:t>
            </w:r>
          </w:p>
        </w:tc>
        <w:tc>
          <w:tcPr>
            <w:tcW w:type="dxa" w:w="36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Verrouillage de session automatique, authentification obligatoire</w:t>
            </w:r>
          </w:p>
        </w:tc>
        <w:tc>
          <w:tcPr>
            <w:tcW w:type="dxa" w:w="10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6"/>
                <w:szCs w:val="16"/>
              </w:rPr>
              <w:t xml:space="preserve">Logiciel</w:t>
            </w:r>
          </w:p>
        </w:tc>
      </w:tr>
      <w:tr>
        <w:tc>
          <w:tcPr>
            <w:tcW w:type="dxa" w:w="600"/>
            <w:shd w:fill="F2F5F7"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1B2733"/>
                <w:sz w:val="21"/>
                <w:szCs w:val="21"/>
              </w:rPr>
              <w:t xml:space="preserve">8</w:t>
            </w:r>
          </w:p>
        </w:tc>
        <w:tc>
          <w:tcPr>
            <w:tcW w:type="dxa" w:w="44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Recette non détruite, jetée dans la corbeille</w:t>
            </w:r>
          </w:p>
        </w:tc>
        <w:tc>
          <w:tcPr>
            <w:tcW w:type="dxa" w:w="36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Destruction sécurisée (broyeur), gestion documentaire, marquage confidentiel</w:t>
            </w:r>
          </w:p>
        </w:tc>
        <w:tc>
          <w:tcPr>
            <w:tcW w:type="dxa" w:w="10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6"/>
                <w:szCs w:val="16"/>
              </w:rPr>
              <w:t xml:space="preserve">Organis.</w:t>
            </w:r>
          </w:p>
        </w:tc>
      </w:tr>
      <w:tr>
        <w:tc>
          <w:tcPr>
            <w:tcW w:type="dxa" w:w="600"/>
            <w:shd w:fill="F2F5F7"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1B2733"/>
                <w:sz w:val="21"/>
                <w:szCs w:val="21"/>
              </w:rPr>
              <w:t xml:space="preserve">9</w:t>
            </w:r>
          </w:p>
        </w:tc>
        <w:tc>
          <w:tcPr>
            <w:tcW w:type="dxa" w:w="44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Fontaine à eau à côté de l'automate</w:t>
            </w:r>
          </w:p>
        </w:tc>
        <w:tc>
          <w:tcPr>
            <w:tcW w:type="dxa" w:w="36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Éloigner tout liquide des équipements électriques, bac de rétention</w:t>
            </w:r>
          </w:p>
        </w:tc>
        <w:tc>
          <w:tcPr>
            <w:tcW w:type="dxa" w:w="10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6"/>
                <w:szCs w:val="16"/>
              </w:rPr>
              <w:t xml:space="preserve">Sécurité</w:t>
            </w:r>
          </w:p>
        </w:tc>
      </w:tr>
    </w:tbl>
    <w:p>
      <w:pPr>
        <w:spacing w:after="100" w:before="0" w:line="276"/>
      </w:pPr>
      <w:r>
        <w:rPr>
          <w:rFonts w:ascii="Calibri" w:cs="Calibri" w:eastAsia="Calibri" w:hAnsi="Calibri"/>
          <w:b w:val="false"/>
          <w:bCs w:val="false"/>
          <w:i w:val="false"/>
          <w:iCs w:val="false"/>
          <w:caps w:val="false"/>
          <w:color w:val="1B2733"/>
          <w:sz w:val="21"/>
          <w:szCs w:val="21"/>
        </w:rPr>
        <w:t xml:space="preserve"/>
      </w:r>
    </w:p>
    <w:p>
      <w:pPr>
        <w:spacing w:after="120" w:before="0" w:line="276"/>
      </w:pPr>
      <w:r>
        <w:rPr>
          <w:rFonts w:ascii="Calibri" w:cs="Calibri" w:eastAsia="Calibri" w:hAnsi="Calibri"/>
          <w:b/>
          <w:bCs/>
          <w:i w:val="false"/>
          <w:iCs w:val="false"/>
          <w:caps w:val="false"/>
          <w:color w:val="1B2733"/>
          <w:sz w:val="21"/>
          <w:szCs w:val="21"/>
        </w:rPr>
        <w:t xml:space="preserve">Correctif transverse : </w:t>
      </w:r>
      <w:r>
        <w:rPr>
          <w:rFonts w:ascii="Calibri" w:cs="Calibri" w:eastAsia="Calibri" w:hAnsi="Calibri"/>
          <w:b w:val="false"/>
          <w:bCs w:val="false"/>
          <w:i w:val="false"/>
          <w:iCs w:val="false"/>
          <w:caps w:val="false"/>
          <w:color w:val="1B2733"/>
          <w:sz w:val="21"/>
          <w:szCs w:val="21"/>
        </w:rPr>
        <w:t xml:space="preserve">huit des neuf points relèvent du comportement, pas de la technique. La mesure la plus efficace et la moins chère est un programme de </w:t>
      </w:r>
      <w:r>
        <w:rPr>
          <w:rFonts w:ascii="Calibri" w:cs="Calibri" w:eastAsia="Calibri" w:hAnsi="Calibri"/>
          <w:b/>
          <w:bCs/>
          <w:i w:val="false"/>
          <w:iCs w:val="false"/>
          <w:caps w:val="false"/>
          <w:color w:val="1B2733"/>
          <w:sz w:val="21"/>
          <w:szCs w:val="21"/>
        </w:rPr>
        <w:t xml:space="preserve">formation et de sensibilisation</w:t>
      </w:r>
      <w:r>
        <w:rPr>
          <w:rFonts w:ascii="Calibri" w:cs="Calibri" w:eastAsia="Calibri" w:hAnsi="Calibri"/>
          <w:b w:val="false"/>
          <w:bCs w:val="false"/>
          <w:i w:val="false"/>
          <w:iCs w:val="false"/>
          <w:caps w:val="false"/>
          <w:color w:val="1B2733"/>
          <w:sz w:val="21"/>
          <w:szCs w:val="21"/>
        </w:rPr>
        <w:t xml:space="preserve"> (affiches, charte signée, exercices, accueil des nouveaux arrivants) — c'est le correctif C17.</w:t>
      </w:r>
    </w:p>
    <w:p>
      <w:pPr>
        <w:pStyle w:val="Heading2"/>
        <w:keepNext/>
        <w:spacing w:after="100" w:before="220"/>
      </w:pPr>
      <w:r>
        <w:rPr>
          <w:rFonts w:ascii="Calibri" w:cs="Calibri" w:eastAsia="Calibri" w:hAnsi="Calibri"/>
          <w:b/>
          <w:bCs/>
          <w:color w:val="33475B"/>
          <w:sz w:val="24"/>
          <w:szCs w:val="24"/>
        </w:rPr>
        <w:t xml:space="preserve">Classification physique / logique / logicielle</w:t>
      </w:r>
    </w:p>
    <w:p>
      <w:pPr>
        <w:spacing w:after="120" w:before="0" w:line="276"/>
      </w:pPr>
      <w:r>
        <w:rPr>
          <w:rFonts w:ascii="Calibri" w:cs="Calibri" w:eastAsia="Calibri" w:hAnsi="Calibri"/>
          <w:b w:val="false"/>
          <w:bCs w:val="false"/>
          <w:i w:val="false"/>
          <w:iCs w:val="false"/>
          <w:caps w:val="false"/>
          <w:color w:val="1B2733"/>
          <w:sz w:val="21"/>
          <w:szCs w:val="21"/>
        </w:rPr>
        <w:t xml:space="preserve">Les treize vulnérabilités se rangent en trois familles, qui appellent des correctifs de nature différente : la sensibilisation pour le physique, l'architecture réseau pour le logique, le durcissement des composants pour le logiciel.</w:t>
      </w:r>
    </w:p>
    <w:tbl>
      <w:tblPr>
        <w:tblW w:type="dxa" w:w="9600"/>
        <w:tblBorders>
          <w:top w:val="single" w:color="C7D0D8" w:sz="2"/>
          <w:left w:val="single" w:color="C7D0D8" w:sz="2"/>
          <w:bottom w:val="single" w:color="C7D0D8" w:sz="2"/>
          <w:right w:val="single" w:color="C7D0D8" w:sz="2"/>
          <w:insideH w:val="single" w:color="C7D0D8" w:sz="2"/>
          <w:insideV w:val="single" w:color="C7D0D8" w:sz="2"/>
        </w:tblBorders>
      </w:tblPr>
      <w:tblGrid>
        <w:gridCol w:w="1600"/>
        <w:gridCol w:w="1100"/>
        <w:gridCol w:w="3900"/>
        <w:gridCol w:w="3000"/>
      </w:tblGrid>
      <w:tr>
        <w:trPr>
          <w:tblHeader/>
        </w:trPr>
        <w:tc>
          <w:tcPr>
            <w:tcW w:type="dxa" w:w="16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Famille</w:t>
            </w:r>
          </w:p>
        </w:tc>
        <w:tc>
          <w:tcPr>
            <w:tcW w:type="dxa" w:w="11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Réf</w:t>
            </w:r>
          </w:p>
        </w:tc>
        <w:tc>
          <w:tcPr>
            <w:tcW w:type="dxa" w:w="39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Vulnérabilité</w:t>
            </w:r>
          </w:p>
        </w:tc>
        <w:tc>
          <w:tcPr>
            <w:tcW w:type="dxa" w:w="30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Correctif type</w:t>
            </w:r>
          </w:p>
        </w:tc>
      </w:tr>
      <w:tr>
        <w:tc>
          <w:tcPr>
            <w:tcW w:type="dxa" w:w="1600"/>
            <w:shd w:fill="F7EEDF"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8A5A0C"/>
                <w:sz w:val="21"/>
                <w:szCs w:val="21"/>
              </w:rPr>
              <w:t xml:space="preserve">Physique</w:t>
            </w:r>
          </w:p>
        </w:tc>
        <w:tc>
          <w:tcPr>
            <w:tcW w:type="dxa" w:w="1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V13</w:t>
            </w:r>
          </w:p>
        </w:tc>
        <w:tc>
          <w:tcPr>
            <w:tcW w:type="dxa" w:w="39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Porte calée par un parpaing, badge/carte laissés traîner, armoire ouverte, fontaine près du local technique</w:t>
            </w:r>
          </w:p>
        </w:tc>
        <w:tc>
          <w:tcPr>
            <w:tcW w:type="dxa" w:w="30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Politique d'accès, portes anti-maintien-ouvert, verrouillage des armoires, audit de site</w:t>
            </w:r>
          </w:p>
        </w:tc>
      </w:tr>
      <w:tr>
        <w:tc>
          <w:tcPr>
            <w:tcW w:type="dxa" w:w="1600"/>
            <w:shd w:fill="F7EEDF"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8A5A0C"/>
                <w:sz w:val="21"/>
                <w:szCs w:val="21"/>
              </w:rPr>
              <w:t xml:space="preserve">Physique</w:t>
            </w:r>
          </w:p>
        </w:tc>
        <w:tc>
          <w:tcPr>
            <w:tcW w:type="dxa" w:w="1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V13</w:t>
            </w:r>
          </w:p>
        </w:tc>
        <w:tc>
          <w:tcPr>
            <w:tcW w:type="dxa" w:w="39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Mots de passe sur post-it, recette/secrets jetés dans une poubelle</w:t>
            </w:r>
          </w:p>
        </w:tc>
        <w:tc>
          <w:tcPr>
            <w:tcW w:type="dxa" w:w="30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Formation &amp; sensibilisation (affiches, charte, clean desk), coffre-fort, destruction sécurisée</w:t>
            </w:r>
          </w:p>
        </w:tc>
      </w:tr>
      <w:tr>
        <w:tc>
          <w:tcPr>
            <w:tcW w:type="dxa" w:w="1600"/>
            <w:shd w:fill="E7EEF4"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Logique</w:t>
            </w:r>
          </w:p>
        </w:tc>
        <w:tc>
          <w:tcPr>
            <w:tcW w:type="dxa" w:w="1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V1</w:t>
            </w:r>
          </w:p>
        </w:tc>
        <w:tc>
          <w:tcPr>
            <w:tcW w:type="dxa" w:w="39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Pare-feu ouvert (« allow all »), zones à plat</w:t>
            </w:r>
          </w:p>
        </w:tc>
        <w:tc>
          <w:tcPr>
            <w:tcW w:type="dxa" w:w="30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Refus par défaut, zones &amp; conduits, une règle par flux</w:t>
            </w:r>
          </w:p>
        </w:tc>
      </w:tr>
      <w:tr>
        <w:tc>
          <w:tcPr>
            <w:tcW w:type="dxa" w:w="1600"/>
            <w:shd w:fill="E7EEF4"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Logique</w:t>
            </w:r>
          </w:p>
        </w:tc>
        <w:tc>
          <w:tcPr>
            <w:tcW w:type="dxa" w:w="1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V5</w:t>
            </w:r>
          </w:p>
        </w:tc>
        <w:tc>
          <w:tcPr>
            <w:tcW w:type="dxa" w:w="39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Usurpation ARP / homme du milieu (TP1)</w:t>
            </w:r>
          </w:p>
        </w:tc>
        <w:tc>
          <w:tcPr>
            <w:tcW w:type="dxa" w:w="30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DAI, port-security, 802.1X — voir encadré ci-dessous</w:t>
            </w:r>
          </w:p>
        </w:tc>
      </w:tr>
      <w:tr>
        <w:tc>
          <w:tcPr>
            <w:tcW w:type="dxa" w:w="1600"/>
            <w:shd w:fill="E7EEF4"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Logique</w:t>
            </w:r>
          </w:p>
        </w:tc>
        <w:tc>
          <w:tcPr>
            <w:tcW w:type="dxa" w:w="1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V3 · V10</w:t>
            </w:r>
          </w:p>
        </w:tc>
        <w:tc>
          <w:tcPr>
            <w:tcW w:type="dxa" w:w="39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Modbus non authentifié, réseau d'admin hors bande, accès hyperviseur</w:t>
            </w:r>
          </w:p>
        </w:tc>
        <w:tc>
          <w:tcPr>
            <w:tcW w:type="dxa" w:w="30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Pare-feu à inspection Modbus, segmentation cellule, suppression du canal hors bande</w:t>
            </w:r>
          </w:p>
        </w:tc>
      </w:tr>
      <w:tr>
        <w:tc>
          <w:tcPr>
            <w:tcW w:type="dxa" w:w="1600"/>
            <w:shd w:fill="F6E6E4"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9E2A2A"/>
                <w:sz w:val="21"/>
                <w:szCs w:val="21"/>
              </w:rPr>
              <w:t xml:space="preserve">Logicielle</w:t>
            </w:r>
          </w:p>
        </w:tc>
        <w:tc>
          <w:tcPr>
            <w:tcW w:type="dxa" w:w="1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V2 · V6</w:t>
            </w:r>
          </w:p>
        </w:tc>
        <w:tc>
          <w:tcPr>
            <w:tcW w:type="dxa" w:w="39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Identifiants par défaut, administration en clair (HTTP/VNC)</w:t>
            </w:r>
          </w:p>
        </w:tc>
        <w:tc>
          <w:tcPr>
            <w:tcW w:type="dxa" w:w="30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Comptes nominatifs + MFA, TLS interne, désactivation de HTTP</w:t>
            </w:r>
          </w:p>
        </w:tc>
      </w:tr>
      <w:tr>
        <w:tc>
          <w:tcPr>
            <w:tcW w:type="dxa" w:w="1600"/>
            <w:shd w:fill="F6E6E4"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9E2A2A"/>
                <w:sz w:val="21"/>
                <w:szCs w:val="21"/>
              </w:rPr>
              <w:t xml:space="preserve">Logicielle</w:t>
            </w:r>
          </w:p>
        </w:tc>
        <w:tc>
          <w:tcPr>
            <w:tcW w:type="dxa" w:w="1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V4</w:t>
            </w:r>
          </w:p>
        </w:tc>
        <w:tc>
          <w:tcPr>
            <w:tcW w:type="dxa" w:w="39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Dépôt de programme automate non contrôlé</w:t>
            </w:r>
          </w:p>
        </w:tc>
        <w:tc>
          <w:tcPr>
            <w:tcW w:type="dxa" w:w="30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Programme signé, empreinte vérifiée, interface d'ingénierie fermée en exploitation</w:t>
            </w:r>
          </w:p>
        </w:tc>
      </w:tr>
      <w:tr>
        <w:tc>
          <w:tcPr>
            <w:tcW w:type="dxa" w:w="1600"/>
            <w:shd w:fill="F6E6E4"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9E2A2A"/>
                <w:sz w:val="21"/>
                <w:szCs w:val="21"/>
              </w:rPr>
              <w:t xml:space="preserve">Logicielle</w:t>
            </w:r>
          </w:p>
        </w:tc>
        <w:tc>
          <w:tcPr>
            <w:tcW w:type="dxa" w:w="1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V7·V8·V9·V11</w:t>
            </w:r>
          </w:p>
        </w:tc>
        <w:tc>
          <w:tcPr>
            <w:tcW w:type="dxa" w:w="39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IDS aveugle, journalisation absente, composants EOL, outils offensifs sur site</w:t>
            </w:r>
          </w:p>
        </w:tc>
        <w:tc>
          <w:tcPr>
            <w:tcW w:type="dxa" w:w="30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Suricata + SIEM, gestion des correctifs, inventaire et retrait des outils</w:t>
            </w:r>
          </w:p>
        </w:tc>
      </w:tr>
      <w:tr>
        <w:tc>
          <w:tcPr>
            <w:tcW w:type="dxa" w:w="1600"/>
            <w:shd w:fill="E3EFE8"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2C6B50"/>
                <w:sz w:val="21"/>
                <w:szCs w:val="21"/>
              </w:rPr>
              <w:t xml:space="preserve">Sûreté</w:t>
            </w:r>
          </w:p>
        </w:tc>
        <w:tc>
          <w:tcPr>
            <w:tcW w:type="dxa" w:w="1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V12</w:t>
            </w:r>
          </w:p>
        </w:tc>
        <w:tc>
          <w:tcPr>
            <w:tcW w:type="dxa" w:w="39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Aucune barrière de sécurité indépendante du système de conduite</w:t>
            </w:r>
          </w:p>
        </w:tc>
        <w:tc>
          <w:tcPr>
            <w:tcW w:type="dxa" w:w="30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Automate de sécurité SIL 2, interlock câblé, organe de décharge (IEC 61511)</w:t>
            </w:r>
          </w:p>
        </w:tc>
      </w:tr>
    </w:tbl>
    <w:p>
      <w:pPr>
        <w:spacing w:after="100" w:before="0" w:line="276"/>
      </w:pPr>
      <w:r>
        <w:rPr>
          <w:rFonts w:ascii="Calibri" w:cs="Calibri" w:eastAsia="Calibri" w:hAnsi="Calibri"/>
          <w:b w:val="false"/>
          <w:bCs w:val="false"/>
          <w:i w:val="false"/>
          <w:iCs w:val="false"/>
          <w:caps w:val="false"/>
          <w:color w:val="1B2733"/>
          <w:sz w:val="21"/>
          <w:szCs w:val="21"/>
        </w:rPr>
        <w:t xml:space="preserve"/>
      </w:r>
    </w:p>
    <w:p>
      <w:pPr>
        <w:pStyle w:val="Heading2"/>
        <w:keepNext/>
        <w:spacing w:after="100" w:before="220"/>
      </w:pPr>
      <w:r>
        <w:rPr>
          <w:rFonts w:ascii="Calibri" w:cs="Calibri" w:eastAsia="Calibri" w:hAnsi="Calibri"/>
          <w:b/>
          <w:bCs/>
          <w:color w:val="33475B"/>
          <w:sz w:val="24"/>
          <w:szCs w:val="24"/>
        </w:rPr>
        <w:t xml:space="preserve">Focus : empêcher l'usurpation ARP et l'homme du milieu (V5)</w:t>
      </w:r>
    </w:p>
    <w:p>
      <w:pPr>
        <w:spacing w:after="120" w:before="0" w:line="276"/>
      </w:pPr>
      <w:r>
        <w:rPr>
          <w:rFonts w:ascii="Calibri" w:cs="Calibri" w:eastAsia="Calibri" w:hAnsi="Calibri"/>
          <w:b w:val="false"/>
          <w:bCs w:val="false"/>
          <w:i w:val="false"/>
          <w:iCs w:val="false"/>
          <w:caps w:val="false"/>
          <w:color w:val="1B2733"/>
          <w:sz w:val="21"/>
          <w:szCs w:val="21"/>
        </w:rPr>
        <w:t xml:space="preserve">Sur un réseau commuté « à plat », n'importe quelle machine peut envoyer de fausses réponses ARP (</w:t>
      </w:r>
      <w:r>
        <w:rPr>
          <w:rFonts w:ascii="Consolas" w:cs="Consolas" w:eastAsia="Consolas" w:hAnsi="Consolas"/>
          <w:color w:val="14507B"/>
          <w:sz w:val="19"/>
          <w:szCs w:val="19"/>
        </w:rPr>
        <w:t xml:space="preserve">arpspoof</w:t>
      </w:r>
      <w:r>
        <w:rPr>
          <w:rFonts w:ascii="Calibri" w:cs="Calibri" w:eastAsia="Calibri" w:hAnsi="Calibri"/>
          <w:b w:val="false"/>
          <w:bCs w:val="false"/>
          <w:i w:val="false"/>
          <w:iCs w:val="false"/>
          <w:caps w:val="false"/>
          <w:color w:val="1B2733"/>
          <w:sz w:val="21"/>
          <w:szCs w:val="21"/>
        </w:rPr>
        <w:t xml:space="preserve">) pour se faire passer pour la passerelle ou pour l'automate. Le trafic Modbus IHM↔automate transite alors par le poste attaquant, qui peut le lire et le réécrire. Ces techniques n'exploitent aucune faille : elles abusent d'un protocole (ARP) sans authentification. Contre-mesures, de la plus simple à la plus robuste :</w:t>
      </w:r>
    </w:p>
    <w:p>
      <w:pPr>
        <w:pStyle w:val="ListParagraph"/>
        <w:numPr>
          <w:ilvl w:val="0"/>
          <w:numId w:val="2"/>
        </w:numPr>
        <w:spacing w:after="60" w:line="270"/>
      </w:pPr>
      <w:r>
        <w:rPr>
          <w:rFonts w:ascii="Calibri" w:cs="Calibri" w:eastAsia="Calibri" w:hAnsi="Calibri"/>
          <w:b/>
          <w:bCs/>
          <w:i w:val="false"/>
          <w:iCs w:val="false"/>
          <w:caps w:val="false"/>
          <w:color w:val="1B2733"/>
          <w:sz w:val="21"/>
          <w:szCs w:val="21"/>
        </w:rPr>
        <w:t xml:space="preserve">Dynamic ARP Inspection (DAI)</w:t>
      </w:r>
      <w:r>
        <w:rPr>
          <w:rFonts w:ascii="Calibri" w:cs="Calibri" w:eastAsia="Calibri" w:hAnsi="Calibri"/>
          <w:b w:val="false"/>
          <w:bCs w:val="false"/>
          <w:i w:val="false"/>
          <w:iCs w:val="false"/>
          <w:caps w:val="false"/>
          <w:color w:val="1B2733"/>
          <w:sz w:val="21"/>
          <w:szCs w:val="21"/>
        </w:rPr>
        <w:t xml:space="preserve"> — chaque réponse ARP est vérifiée contre la table DHCP snooping ; les réponses forgées sont rejetées. Parade directe à l'arpspoof.</w:t>
      </w:r>
    </w:p>
    <w:p>
      <w:pPr>
        <w:pStyle w:val="ListParagraph"/>
        <w:numPr>
          <w:ilvl w:val="0"/>
          <w:numId w:val="2"/>
        </w:numPr>
        <w:spacing w:after="60" w:line="270"/>
      </w:pPr>
      <w:r>
        <w:rPr>
          <w:rFonts w:ascii="Calibri" w:cs="Calibri" w:eastAsia="Calibri" w:hAnsi="Calibri"/>
          <w:b/>
          <w:bCs/>
          <w:i w:val="false"/>
          <w:iCs w:val="false"/>
          <w:caps w:val="false"/>
          <w:color w:val="1B2733"/>
          <w:sz w:val="21"/>
          <w:szCs w:val="21"/>
        </w:rPr>
        <w:t xml:space="preserve">Port security / sticky MAC</w:t>
      </w:r>
      <w:r>
        <w:rPr>
          <w:rFonts w:ascii="Calibri" w:cs="Calibri" w:eastAsia="Calibri" w:hAnsi="Calibri"/>
          <w:b w:val="false"/>
          <w:bCs w:val="false"/>
          <w:i w:val="false"/>
          <w:iCs w:val="false"/>
          <w:caps w:val="false"/>
          <w:color w:val="1B2733"/>
          <w:sz w:val="21"/>
          <w:szCs w:val="21"/>
        </w:rPr>
        <w:t xml:space="preserve"> — un port ne laisse passer qu'une MAC apprise ; brancher un équipement pirate (le « routeur perso » du TP) coupe le port.</w:t>
      </w:r>
    </w:p>
    <w:p>
      <w:pPr>
        <w:pStyle w:val="ListParagraph"/>
        <w:numPr>
          <w:ilvl w:val="0"/>
          <w:numId w:val="2"/>
        </w:numPr>
        <w:spacing w:after="60" w:line="270"/>
      </w:pPr>
      <w:r>
        <w:rPr>
          <w:rFonts w:ascii="Calibri" w:cs="Calibri" w:eastAsia="Calibri" w:hAnsi="Calibri"/>
          <w:b/>
          <w:bCs/>
          <w:i w:val="false"/>
          <w:iCs w:val="false"/>
          <w:caps w:val="false"/>
          <w:color w:val="1B2733"/>
          <w:sz w:val="21"/>
          <w:szCs w:val="21"/>
        </w:rPr>
        <w:t xml:space="preserve">802.1X</w:t>
      </w:r>
      <w:r>
        <w:rPr>
          <w:rFonts w:ascii="Calibri" w:cs="Calibri" w:eastAsia="Calibri" w:hAnsi="Calibri"/>
          <w:b w:val="false"/>
          <w:bCs w:val="false"/>
          <w:i w:val="false"/>
          <w:iCs w:val="false"/>
          <w:caps w:val="false"/>
          <w:color w:val="1B2733"/>
          <w:sz w:val="21"/>
          <w:szCs w:val="21"/>
        </w:rPr>
        <w:t xml:space="preserve"> — authentification de l'équipement avant tout accès réseau ; une machine non enrôlée ne parle à personne.</w:t>
      </w:r>
    </w:p>
    <w:p>
      <w:pPr>
        <w:pStyle w:val="ListParagraph"/>
        <w:numPr>
          <w:ilvl w:val="0"/>
          <w:numId w:val="2"/>
        </w:numPr>
        <w:spacing w:after="60" w:line="270"/>
      </w:pPr>
      <w:r>
        <w:rPr>
          <w:rFonts w:ascii="Calibri" w:cs="Calibri" w:eastAsia="Calibri" w:hAnsi="Calibri"/>
          <w:b/>
          <w:bCs/>
          <w:i w:val="false"/>
          <w:iCs w:val="false"/>
          <w:caps w:val="false"/>
          <w:color w:val="1B2733"/>
          <w:sz w:val="21"/>
          <w:szCs w:val="21"/>
        </w:rPr>
        <w:t xml:space="preserve">Entrées ARP statiques</w:t>
      </w:r>
      <w:r>
        <w:rPr>
          <w:rFonts w:ascii="Calibri" w:cs="Calibri" w:eastAsia="Calibri" w:hAnsi="Calibri"/>
          <w:b w:val="false"/>
          <w:bCs w:val="false"/>
          <w:i w:val="false"/>
          <w:iCs w:val="false"/>
          <w:caps w:val="false"/>
          <w:color w:val="1B2733"/>
          <w:sz w:val="21"/>
          <w:szCs w:val="21"/>
        </w:rPr>
        <w:t xml:space="preserve"> sur les liens critiques peu nombreux (IHM↔automate) — simple et robuste, mais à maintenir manuellement.</w:t>
      </w:r>
    </w:p>
    <w:p>
      <w:pPr>
        <w:pStyle w:val="ListParagraph"/>
        <w:numPr>
          <w:ilvl w:val="0"/>
          <w:numId w:val="2"/>
        </w:numPr>
        <w:spacing w:after="60" w:line="270"/>
      </w:pPr>
      <w:r>
        <w:rPr>
          <w:rFonts w:ascii="Calibri" w:cs="Calibri" w:eastAsia="Calibri" w:hAnsi="Calibri"/>
          <w:b/>
          <w:bCs/>
          <w:i w:val="false"/>
          <w:iCs w:val="false"/>
          <w:caps w:val="false"/>
          <w:color w:val="1B2733"/>
          <w:sz w:val="21"/>
          <w:szCs w:val="21"/>
        </w:rPr>
        <w:t xml:space="preserve">Segmentation VLAN / conduits</w:t>
      </w:r>
      <w:r>
        <w:rPr>
          <w:rFonts w:ascii="Calibri" w:cs="Calibri" w:eastAsia="Calibri" w:hAnsi="Calibri"/>
          <w:b w:val="false"/>
          <w:bCs w:val="false"/>
          <w:i w:val="false"/>
          <w:iCs w:val="false"/>
          <w:caps w:val="false"/>
          <w:color w:val="1B2733"/>
          <w:sz w:val="21"/>
          <w:szCs w:val="21"/>
        </w:rPr>
        <w:t xml:space="preserve"> — réduit le domaine de diffusion : un attaquant en DMZ ne peut plus usurper un équipement de la cellule.</w:t>
      </w:r>
    </w:p>
    <w:p>
      <w:pPr>
        <w:pStyle w:val="ListParagraph"/>
        <w:numPr>
          <w:ilvl w:val="0"/>
          <w:numId w:val="2"/>
        </w:numPr>
        <w:spacing w:after="60" w:line="270"/>
      </w:pPr>
      <w:r>
        <w:rPr>
          <w:rFonts w:ascii="Calibri" w:cs="Calibri" w:eastAsia="Calibri" w:hAnsi="Calibri"/>
          <w:b/>
          <w:bCs/>
          <w:i w:val="false"/>
          <w:iCs w:val="false"/>
          <w:caps w:val="false"/>
          <w:color w:val="1B2733"/>
          <w:sz w:val="21"/>
          <w:szCs w:val="21"/>
        </w:rPr>
        <w:t xml:space="preserve">Protocoles authentifiés</w:t>
      </w:r>
      <w:r>
        <w:rPr>
          <w:rFonts w:ascii="Calibri" w:cs="Calibri" w:eastAsia="Calibri" w:hAnsi="Calibri"/>
          <w:b w:val="false"/>
          <w:bCs w:val="false"/>
          <w:i w:val="false"/>
          <w:iCs w:val="false"/>
          <w:caps w:val="false"/>
          <w:color w:val="1B2733"/>
          <w:sz w:val="21"/>
          <w:szCs w:val="21"/>
        </w:rPr>
        <w:t xml:space="preserve"> — Modbus/TCP Security (TLS) ou OPC UA signé rendent la réécriture des trames inopérante, même si l'interception réussit.</w:t>
      </w:r>
    </w:p>
    <w:p>
      <w:pPr>
        <w:spacing w:after="120" w:before="0" w:line="276"/>
      </w:pPr>
      <w:r>
        <w:rPr>
          <w:rFonts w:ascii="Calibri" w:cs="Calibri" w:eastAsia="Calibri" w:hAnsi="Calibri"/>
          <w:b w:val="false"/>
          <w:bCs w:val="false"/>
          <w:i/>
          <w:iCs/>
          <w:caps w:val="false"/>
          <w:color w:val="1B2733"/>
          <w:sz w:val="21"/>
          <w:szCs w:val="21"/>
        </w:rPr>
        <w:t xml:space="preserve">Combinées, DAI + port-security + 802.1X ferment la quasi-totalité des attaques de niveau 2 vues en TP1, et sont portées par les commutateurs industriels du correctif C13.</w:t>
      </w:r>
    </w:p>
    <w:p>
      <w:r>
        <w:br w:type="page"/>
      </w:r>
    </w:p>
    <w:p>
      <w:pPr>
        <w:pStyle w:val="Heading1"/>
        <w:keepNext/>
        <w:spacing w:after="140" w:before="320"/>
      </w:pPr>
      <w:r>
        <w:rPr>
          <w:rFonts w:ascii="Cambria" w:cs="Cambria" w:eastAsia="Cambria" w:hAnsi="Cambria"/>
          <w:b/>
          <w:bCs/>
          <w:color w:val="14507B"/>
          <w:sz w:val="30"/>
          <w:szCs w:val="30"/>
        </w:rPr>
        <w:t xml:space="preserve">§4   </w:t>
      </w:r>
      <w:r>
        <w:rPr>
          <w:rFonts w:ascii="Cambria" w:cs="Cambria" w:eastAsia="Cambria" w:hAnsi="Cambria"/>
          <w:b/>
          <w:bCs/>
          <w:color w:val="1B2733"/>
          <w:sz w:val="30"/>
          <w:szCs w:val="30"/>
        </w:rPr>
        <w:t xml:space="preserve">Architecture cible</w:t>
      </w:r>
    </w:p>
    <w:p>
      <w:pPr>
        <w:spacing w:after="120" w:before="0" w:line="276"/>
      </w:pPr>
      <w:r>
        <w:rPr>
          <w:rFonts w:ascii="Calibri" w:cs="Calibri" w:eastAsia="Calibri" w:hAnsi="Calibri"/>
          <w:b w:val="false"/>
          <w:bCs w:val="false"/>
          <w:i w:val="false"/>
          <w:iCs w:val="false"/>
          <w:caps w:val="false"/>
          <w:color w:val="1B2733"/>
          <w:sz w:val="21"/>
          <w:szCs w:val="21"/>
        </w:rPr>
        <w:t xml:space="preserve">L'architecture cible applique le découpage en zones et conduits de l'IEC 62443-3-2 sur un modèle Purdue. Chaque zone reçoit un niveau de sécurité cible, chaque conduit n'autorise qu'une liste explicite de flux, et tout le reste est refusé et journalisé. Principe directeur : un flux qui n'est pas nécessaire à la conduite du procédé n'a pas de raison d'exister.</w:t>
      </w:r>
    </w:p>
    <w:p>
      <w:pPr>
        <w:pStyle w:val="Heading2"/>
        <w:keepNext/>
        <w:spacing w:after="100" w:before="220"/>
      </w:pPr>
      <w:r>
        <w:rPr>
          <w:rFonts w:ascii="Calibri" w:cs="Calibri" w:eastAsia="Calibri" w:hAnsi="Calibri"/>
          <w:b/>
          <w:bCs/>
          <w:color w:val="33475B"/>
          <w:sz w:val="24"/>
          <w:szCs w:val="24"/>
        </w:rPr>
        <w:t xml:space="preserve">Zones et niveaux cibles</w:t>
      </w:r>
    </w:p>
    <w:tbl>
      <w:tblPr>
        <w:tblW w:type="dxa" w:w="9600"/>
        <w:tblBorders>
          <w:top w:val="single" w:color="C7D0D8" w:sz="2"/>
          <w:left w:val="single" w:color="C7D0D8" w:sz="2"/>
          <w:bottom w:val="single" w:color="C7D0D8" w:sz="2"/>
          <w:right w:val="single" w:color="C7D0D8" w:sz="2"/>
          <w:insideH w:val="single" w:color="C7D0D8" w:sz="2"/>
          <w:insideV w:val="single" w:color="C7D0D8" w:sz="2"/>
        </w:tblBorders>
      </w:tblPr>
      <w:tblGrid>
        <w:gridCol w:w="2200"/>
        <w:gridCol w:w="1300"/>
        <w:gridCol w:w="6100"/>
      </w:tblGrid>
      <w:tr>
        <w:trPr>
          <w:tblHeader/>
        </w:trPr>
        <w:tc>
          <w:tcPr>
            <w:tcW w:type="dxa" w:w="22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Zone (niveau Purdue)</w:t>
            </w:r>
          </w:p>
        </w:tc>
        <w:tc>
          <w:tcPr>
            <w:tcW w:type="dxa" w:w="13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SL cible</w:t>
            </w:r>
          </w:p>
        </w:tc>
        <w:tc>
          <w:tcPr>
            <w:tcW w:type="dxa" w:w="61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Contenu</w:t>
            </w:r>
          </w:p>
        </w:tc>
      </w:tr>
      <w:tr>
        <w:tc>
          <w:tcPr>
            <w:tcW w:type="dxa" w:w="22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Entreprise (N4-5)</w:t>
            </w:r>
          </w:p>
        </w:tc>
        <w:tc>
          <w:tcPr>
            <w:tcW w:type="dxa" w:w="13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w:t>
            </w:r>
          </w:p>
        </w:tc>
        <w:tc>
          <w:tcPr>
            <w:tcW w:type="dxa" w:w="6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SI de gestion, hors périmètre OT, aucun accès direct aux zones industrielles.</w:t>
            </w:r>
          </w:p>
        </w:tc>
      </w:tr>
      <w:tr>
        <w:tc>
          <w:tcPr>
            <w:tcW w:type="dxa" w:w="22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DMZ industrielle (N3.5)</w:t>
            </w:r>
          </w:p>
        </w:tc>
        <w:tc>
          <w:tcPr>
            <w:tcW w:type="dxa" w:w="1300"/>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8A5A0C"/>
                <w:sz w:val="21"/>
                <w:szCs w:val="21"/>
              </w:rPr>
              <w:t xml:space="preserve">SL 2</w:t>
            </w:r>
          </w:p>
        </w:tc>
        <w:tc>
          <w:tcPr>
            <w:tcW w:type="dxa" w:w="6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Bastion d'administration (MFA), historian/relais OPC UA lecture seule, SIEM Wazuh, serveur de correctifs.</w:t>
            </w:r>
          </w:p>
        </w:tc>
      </w:tr>
      <w:tr>
        <w:tc>
          <w:tcPr>
            <w:tcW w:type="dxa" w:w="22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Supervision (N2)</w:t>
            </w:r>
          </w:p>
        </w:tc>
        <w:tc>
          <w:tcPr>
            <w:tcW w:type="dxa" w:w="1300"/>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SL 2</w:t>
            </w:r>
          </w:p>
        </w:tc>
        <w:tc>
          <w:tcPr>
            <w:tcW w:type="dxa" w:w="6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IHM durcie (HTTPS, comptes nominatifs), postes opérateurs (liste blanche, USB désactivé), gestion des alarmes.</w:t>
            </w:r>
          </w:p>
        </w:tc>
      </w:tr>
      <w:tr>
        <w:tc>
          <w:tcPr>
            <w:tcW w:type="dxa" w:w="22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Contrôle (N1)</w:t>
            </w:r>
          </w:p>
        </w:tc>
        <w:tc>
          <w:tcPr>
            <w:tcW w:type="dxa" w:w="1300"/>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9E2A2A"/>
                <w:sz w:val="21"/>
                <w:szCs w:val="21"/>
              </w:rPr>
              <w:t xml:space="preserve">SL 3</w:t>
            </w:r>
          </w:p>
        </w:tc>
        <w:tc>
          <w:tcPr>
            <w:tcW w:type="dxa" w:w="6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Automate durci, interface d'ingénierie fermée en exploitation, programme signé et vérifié.</w:t>
            </w:r>
          </w:p>
        </w:tc>
      </w:tr>
      <w:tr>
        <w:tc>
          <w:tcPr>
            <w:tcW w:type="dxa" w:w="22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Procédé (N0)</w:t>
            </w:r>
          </w:p>
        </w:tc>
        <w:tc>
          <w:tcPr>
            <w:tcW w:type="dxa" w:w="1300"/>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9E2A2A"/>
                <w:sz w:val="21"/>
                <w:szCs w:val="21"/>
              </w:rPr>
              <w:t xml:space="preserve">SL 3</w:t>
            </w:r>
          </w:p>
        </w:tc>
        <w:tc>
          <w:tcPr>
            <w:tcW w:type="dxa" w:w="6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Segment cellule dédié, E/S sur ports verrouillés, + barrière de sécurité SIL 2 indépendante du réseau.</w:t>
            </w:r>
          </w:p>
        </w:tc>
      </w:tr>
    </w:tbl>
    <w:p>
      <w:pPr>
        <w:spacing w:after="100" w:before="0" w:line="276"/>
      </w:pPr>
      <w:r>
        <w:rPr>
          <w:rFonts w:ascii="Calibri" w:cs="Calibri" w:eastAsia="Calibri" w:hAnsi="Calibri"/>
          <w:b w:val="false"/>
          <w:bCs w:val="false"/>
          <w:i w:val="false"/>
          <w:iCs w:val="false"/>
          <w:caps w:val="false"/>
          <w:color w:val="1B2733"/>
          <w:sz w:val="21"/>
          <w:szCs w:val="21"/>
        </w:rPr>
        <w:t xml:space="preserve"/>
      </w:r>
    </w:p>
    <w:p>
      <w:pPr>
        <w:pStyle w:val="Heading2"/>
        <w:keepNext/>
        <w:spacing w:after="100" w:before="220"/>
      </w:pPr>
      <w:r>
        <w:rPr>
          <w:rFonts w:ascii="Calibri" w:cs="Calibri" w:eastAsia="Calibri" w:hAnsi="Calibri"/>
          <w:b/>
          <w:bCs/>
          <w:color w:val="33475B"/>
          <w:sz w:val="24"/>
          <w:szCs w:val="24"/>
        </w:rPr>
        <w:t xml:space="preserve">Matrice des conduits</w:t>
      </w:r>
    </w:p>
    <w:tbl>
      <w:tblPr>
        <w:tblW w:type="dxa" w:w="9600"/>
        <w:tblBorders>
          <w:top w:val="single" w:color="C7D0D8" w:sz="2"/>
          <w:left w:val="single" w:color="C7D0D8" w:sz="2"/>
          <w:bottom w:val="single" w:color="C7D0D8" w:sz="2"/>
          <w:right w:val="single" w:color="C7D0D8" w:sz="2"/>
          <w:insideH w:val="single" w:color="C7D0D8" w:sz="2"/>
          <w:insideV w:val="single" w:color="C7D0D8" w:sz="2"/>
        </w:tblBorders>
      </w:tblPr>
      <w:tblGrid>
        <w:gridCol w:w="1100"/>
        <w:gridCol w:w="3100"/>
        <w:gridCol w:w="2600"/>
        <w:gridCol w:w="2800"/>
      </w:tblGrid>
      <w:tr>
        <w:trPr>
          <w:tblHeader/>
        </w:trPr>
        <w:tc>
          <w:tcPr>
            <w:tcW w:type="dxa" w:w="11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Conduit</w:t>
            </w:r>
          </w:p>
        </w:tc>
        <w:tc>
          <w:tcPr>
            <w:tcW w:type="dxa" w:w="31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Flux</w:t>
            </w:r>
          </w:p>
        </w:tc>
        <w:tc>
          <w:tcPr>
            <w:tcW w:type="dxa" w:w="26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Protocole</w:t>
            </w:r>
          </w:p>
        </w:tc>
        <w:tc>
          <w:tcPr>
            <w:tcW w:type="dxa" w:w="28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Contrôle</w:t>
            </w:r>
          </w:p>
        </w:tc>
      </w:tr>
      <w:tr>
        <w:tc>
          <w:tcPr>
            <w:tcW w:type="dxa" w:w="11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21"/>
                <w:szCs w:val="21"/>
              </w:rPr>
              <w:t xml:space="preserve">C1</w:t>
            </w:r>
          </w:p>
        </w:tc>
        <w:tc>
          <w:tcPr>
            <w:tcW w:type="dxa" w:w="3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IT → DMZ</w:t>
            </w:r>
          </w:p>
        </w:tc>
        <w:tc>
          <w:tcPr>
            <w:tcW w:type="dxa" w:w="26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SSH/RDP sur tunnel chiffré</w:t>
            </w:r>
          </w:p>
        </w:tc>
        <w:tc>
          <w:tcPr>
            <w:tcW w:type="dxa" w:w="28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Bastion, MFA, enregistrement de session</w:t>
            </w:r>
          </w:p>
        </w:tc>
      </w:tr>
      <w:tr>
        <w:tc>
          <w:tcPr>
            <w:tcW w:type="dxa" w:w="11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21"/>
                <w:szCs w:val="21"/>
              </w:rPr>
              <w:t xml:space="preserve">C2</w:t>
            </w:r>
          </w:p>
        </w:tc>
        <w:tc>
          <w:tcPr>
            <w:tcW w:type="dxa" w:w="3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Supervision → DMZ</w:t>
            </w:r>
          </w:p>
        </w:tc>
        <w:tc>
          <w:tcPr>
            <w:tcW w:type="dxa" w:w="26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OPC UA (TLS)</w:t>
            </w:r>
          </w:p>
        </w:tc>
        <w:tc>
          <w:tcPr>
            <w:tcW w:type="dxa" w:w="28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Sens unique, rupture de protocole sur historian</w:t>
            </w:r>
          </w:p>
        </w:tc>
      </w:tr>
      <w:tr>
        <w:tc>
          <w:tcPr>
            <w:tcW w:type="dxa" w:w="11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21"/>
                <w:szCs w:val="21"/>
              </w:rPr>
              <w:t xml:space="preserve">C3</w:t>
            </w:r>
          </w:p>
        </w:tc>
        <w:tc>
          <w:tcPr>
            <w:tcW w:type="dxa" w:w="3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IHM → Automate</w:t>
            </w:r>
          </w:p>
        </w:tc>
        <w:tc>
          <w:tcPr>
            <w:tcW w:type="dxa" w:w="26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Modbus/TCP 502</w:t>
            </w:r>
          </w:p>
        </w:tc>
        <w:tc>
          <w:tcPr>
            <w:tcW w:type="dxa" w:w="28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Pare-feu à inspection Modbus : FC 3/4 lecture, FC 6/16 bornés</w:t>
            </w:r>
          </w:p>
        </w:tc>
      </w:tr>
      <w:tr>
        <w:tc>
          <w:tcPr>
            <w:tcW w:type="dxa" w:w="11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21"/>
                <w:szCs w:val="21"/>
              </w:rPr>
              <w:t xml:space="preserve">C3b</w:t>
            </w:r>
          </w:p>
        </w:tc>
        <w:tc>
          <w:tcPr>
            <w:tcW w:type="dxa" w:w="3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Ingénierie → Automate</w:t>
            </w:r>
          </w:p>
        </w:tc>
        <w:tc>
          <w:tcPr>
            <w:tcW w:type="dxa" w:w="26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HTTPS 8080</w:t>
            </w:r>
          </w:p>
        </w:tc>
        <w:tc>
          <w:tcPr>
            <w:tcW w:type="dxa" w:w="28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Fenêtre de maintenance, bastion, double validation</w:t>
            </w:r>
          </w:p>
        </w:tc>
      </w:tr>
      <w:tr>
        <w:tc>
          <w:tcPr>
            <w:tcW w:type="dxa" w:w="11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21"/>
                <w:szCs w:val="21"/>
              </w:rPr>
              <w:t xml:space="preserve">C4</w:t>
            </w:r>
          </w:p>
        </w:tc>
        <w:tc>
          <w:tcPr>
            <w:tcW w:type="dxa" w:w="3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Automate → E/S</w:t>
            </w:r>
          </w:p>
        </w:tc>
        <w:tc>
          <w:tcPr>
            <w:tcW w:type="dxa" w:w="26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Modbus/TCP 502</w:t>
            </w:r>
          </w:p>
        </w:tc>
        <w:tc>
          <w:tcPr>
            <w:tcW w:type="dxa" w:w="28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802.1X, inspection ARP dynamique, verrouillage MAC</w:t>
            </w:r>
          </w:p>
        </w:tc>
      </w:tr>
      <w:tr>
        <w:tc>
          <w:tcPr>
            <w:tcW w:type="dxa" w:w="11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21"/>
                <w:szCs w:val="21"/>
              </w:rPr>
              <w:t xml:space="preserve">C5</w:t>
            </w:r>
          </w:p>
        </w:tc>
        <w:tc>
          <w:tcPr>
            <w:tcW w:type="dxa" w:w="31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Tous → SIEM</w:t>
            </w:r>
          </w:p>
        </w:tc>
        <w:tc>
          <w:tcPr>
            <w:tcW w:type="dxa" w:w="26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Agent chiffré 1514/1515</w:t>
            </w:r>
          </w:p>
        </w:tc>
        <w:tc>
          <w:tcPr>
            <w:tcW w:type="dxa" w:w="28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Sens unique, horloge commune</w:t>
            </w:r>
          </w:p>
        </w:tc>
      </w:tr>
    </w:tbl>
    <w:p>
      <w:pPr>
        <w:spacing w:after="80" w:before="0" w:line="276"/>
      </w:pPr>
      <w:r>
        <w:rPr>
          <w:rFonts w:ascii="Calibri" w:cs="Calibri" w:eastAsia="Calibri" w:hAnsi="Calibri"/>
          <w:b w:val="false"/>
          <w:bCs w:val="false"/>
          <w:i w:val="false"/>
          <w:iCs w:val="false"/>
          <w:caps w:val="false"/>
          <w:color w:val="1B2733"/>
          <w:sz w:val="21"/>
          <w:szCs w:val="21"/>
        </w:rPr>
        <w:t xml:space="preserve"/>
      </w:r>
    </w:p>
    <w:p>
      <w:pPr>
        <w:spacing w:after="120" w:before="0" w:line="276"/>
      </w:pPr>
      <w:r>
        <w:rPr>
          <w:rFonts w:ascii="Calibri" w:cs="Calibri" w:eastAsia="Calibri" w:hAnsi="Calibri"/>
          <w:b/>
          <w:bCs/>
          <w:i w:val="false"/>
          <w:iCs w:val="false"/>
          <w:caps w:val="false"/>
          <w:color w:val="9E2A2A"/>
          <w:sz w:val="21"/>
          <w:szCs w:val="21"/>
        </w:rPr>
        <w:t xml:space="preserve">Tout flux non listé est refusé et journalisé. Le réseau d'administration hors bande est supprimé.</w:t>
      </w:r>
    </w:p>
    <w:p>
      <w:r>
        <w:br w:type="page"/>
      </w:r>
    </w:p>
    <w:p>
      <w:pPr>
        <w:pStyle w:val="Heading1"/>
        <w:keepNext/>
        <w:spacing w:after="140" w:before="320"/>
      </w:pPr>
      <w:r>
        <w:rPr>
          <w:rFonts w:ascii="Cambria" w:cs="Cambria" w:eastAsia="Cambria" w:hAnsi="Cambria"/>
          <w:b/>
          <w:bCs/>
          <w:color w:val="14507B"/>
          <w:sz w:val="30"/>
          <w:szCs w:val="30"/>
        </w:rPr>
        <w:t xml:space="preserve">§5   </w:t>
      </w:r>
      <w:r>
        <w:rPr>
          <w:rFonts w:ascii="Cambria" w:cs="Cambria" w:eastAsia="Cambria" w:hAnsi="Cambria"/>
          <w:b/>
          <w:bCs/>
          <w:color w:val="1B2733"/>
          <w:sz w:val="30"/>
          <w:szCs w:val="30"/>
        </w:rPr>
        <w:t xml:space="preserve">Correctifs, priorisation et coûts</w:t>
      </w:r>
    </w:p>
    <w:p>
      <w:pPr>
        <w:spacing w:after="120" w:before="0" w:line="276"/>
      </w:pPr>
      <w:r>
        <w:rPr>
          <w:rFonts w:ascii="Calibri" w:cs="Calibri" w:eastAsia="Calibri" w:hAnsi="Calibri"/>
          <w:b w:val="false"/>
          <w:bCs w:val="false"/>
          <w:i w:val="false"/>
          <w:iCs w:val="false"/>
          <w:caps w:val="false"/>
          <w:color w:val="1B2733"/>
          <w:sz w:val="21"/>
          <w:szCs w:val="21"/>
        </w:rPr>
        <w:t xml:space="preserve">La priorisation suit l'écart entre le niveau atteint (SL 0) et le niveau cible de chaque zone, pondéré par l'effet sur la chaîne d'attaque réelle. Un correctif qui coupe le chemin d'attaque du TP passe avant un correctif qui durcit un composant déjà inatteignable. Hypothèses : </w:t>
      </w:r>
      <w:r>
        <w:rPr>
          <w:rFonts w:ascii="Calibri" w:cs="Calibri" w:eastAsia="Calibri" w:hAnsi="Calibri"/>
          <w:b/>
          <w:bCs/>
          <w:i w:val="false"/>
          <w:iCs w:val="false"/>
          <w:caps w:val="false"/>
          <w:color w:val="1B2733"/>
          <w:sz w:val="21"/>
          <w:szCs w:val="21"/>
        </w:rPr>
        <w:t xml:space="preserve">480 €</w:t>
      </w:r>
      <w:r>
        <w:rPr>
          <w:rFonts w:ascii="Calibri" w:cs="Calibri" w:eastAsia="Calibri" w:hAnsi="Calibri"/>
          <w:b w:val="false"/>
          <w:bCs w:val="false"/>
          <w:i w:val="false"/>
          <w:iCs w:val="false"/>
          <w:caps w:val="false"/>
          <w:color w:val="1B2733"/>
          <w:sz w:val="21"/>
          <w:szCs w:val="21"/>
        </w:rPr>
        <w:t xml:space="preserve">/jour interne, </w:t>
      </w:r>
      <w:r>
        <w:rPr>
          <w:rFonts w:ascii="Calibri" w:cs="Calibri" w:eastAsia="Calibri" w:hAnsi="Calibri"/>
          <w:b/>
          <w:bCs/>
          <w:i w:val="false"/>
          <w:iCs w:val="false"/>
          <w:caps w:val="false"/>
          <w:color w:val="1B2733"/>
          <w:sz w:val="21"/>
          <w:szCs w:val="21"/>
        </w:rPr>
        <w:t xml:space="preserve">950 €</w:t>
      </w:r>
      <w:r>
        <w:rPr>
          <w:rFonts w:ascii="Calibri" w:cs="Calibri" w:eastAsia="Calibri" w:hAnsi="Calibri"/>
          <w:b w:val="false"/>
          <w:bCs w:val="false"/>
          <w:i w:val="false"/>
          <w:iCs w:val="false"/>
          <w:caps w:val="false"/>
          <w:color w:val="1B2733"/>
          <w:sz w:val="21"/>
          <w:szCs w:val="21"/>
        </w:rPr>
        <w:t xml:space="preserve">/jour prestataire, </w:t>
      </w:r>
      <w:r>
        <w:rPr>
          <w:rFonts w:ascii="Calibri" w:cs="Calibri" w:eastAsia="Calibri" w:hAnsi="Calibri"/>
          <w:b/>
          <w:bCs/>
          <w:i w:val="false"/>
          <w:iCs w:val="false"/>
          <w:caps w:val="false"/>
          <w:color w:val="1B2733"/>
          <w:sz w:val="21"/>
          <w:szCs w:val="21"/>
        </w:rPr>
        <w:t xml:space="preserve">6 500 €</w:t>
      </w:r>
      <w:r>
        <w:rPr>
          <w:rFonts w:ascii="Calibri" w:cs="Calibri" w:eastAsia="Calibri" w:hAnsi="Calibri"/>
          <w:b w:val="false"/>
          <w:bCs w:val="false"/>
          <w:i w:val="false"/>
          <w:iCs w:val="false"/>
          <w:caps w:val="false"/>
          <w:color w:val="1B2733"/>
          <w:sz w:val="21"/>
          <w:szCs w:val="21"/>
        </w:rPr>
        <w:t xml:space="preserve">/heure d'arrêt.</w:t>
      </w:r>
    </w:p>
    <w:p>
      <w:pPr>
        <w:pStyle w:val="Heading2"/>
        <w:keepNext/>
        <w:spacing w:after="100" w:before="220"/>
      </w:pPr>
      <w:r>
        <w:rPr>
          <w:rFonts w:ascii="Calibri" w:cs="Calibri" w:eastAsia="Calibri" w:hAnsi="Calibri"/>
          <w:b/>
          <w:bCs/>
          <w:color w:val="33475B"/>
          <w:sz w:val="24"/>
          <w:szCs w:val="24"/>
        </w:rPr>
        <w:t xml:space="preserve">Lot 0 — Urgent : couper la chaîne d'attaque (0 à 2 semaines, SL 0 → SL 2)</w:t>
      </w:r>
    </w:p>
    <w:tbl>
      <w:tblPr>
        <w:tblW w:type="dxa" w:w="9600"/>
        <w:tblBorders>
          <w:top w:val="single" w:color="C7D0D8" w:sz="2"/>
          <w:left w:val="single" w:color="C7D0D8" w:sz="2"/>
          <w:bottom w:val="single" w:color="C7D0D8" w:sz="2"/>
          <w:right w:val="single" w:color="C7D0D8" w:sz="2"/>
          <w:insideH w:val="single" w:color="C7D0D8" w:sz="2"/>
          <w:insideV w:val="single" w:color="C7D0D8" w:sz="2"/>
        </w:tblBorders>
      </w:tblPr>
      <w:tblGrid>
        <w:gridCol w:w="900"/>
        <w:gridCol w:w="4700"/>
        <w:gridCol w:w="1400"/>
        <w:gridCol w:w="1300"/>
        <w:gridCol w:w="1300"/>
      </w:tblGrid>
      <w:tr>
        <w:trPr>
          <w:tblHeader/>
        </w:trPr>
        <w:tc>
          <w:tcPr>
            <w:tcW w:type="dxa" w:w="9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Réf</w:t>
            </w:r>
          </w:p>
        </w:tc>
        <w:tc>
          <w:tcPr>
            <w:tcW w:type="dxa" w:w="47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Correctif</w:t>
            </w:r>
          </w:p>
        </w:tc>
        <w:tc>
          <w:tcPr>
            <w:tcW w:type="dxa" w:w="14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Délai</w:t>
            </w:r>
          </w:p>
        </w:tc>
        <w:tc>
          <w:tcPr>
            <w:tcW w:type="dxa" w:w="13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Arrêt</w:t>
            </w:r>
          </w:p>
        </w:tc>
        <w:tc>
          <w:tcPr>
            <w:tcW w:type="dxa" w:w="13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Coût</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C1</w:t>
            </w:r>
          </w:p>
        </w:tc>
        <w:tc>
          <w:tcPr>
            <w:tcW w:type="dxa" w:w="47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Pare-feu en refus par défaut, une règle par conduit, suppression de la règle « allow all » et du -s 192.168.95.0/24 ACCEPT</w:t>
            </w:r>
          </w:p>
        </w:tc>
        <w:tc>
          <w:tcPr>
            <w:tcW w:type="dxa" w:w="14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9"/>
                <w:szCs w:val="19"/>
              </w:rPr>
              <w:t xml:space="preserve">1 j int. + 3 j ext.</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val="false"/>
                <w:bCs w:val="false"/>
                <w:i w:val="false"/>
                <w:iCs w:val="false"/>
                <w:caps w:val="false"/>
                <w:color w:val="1B2733"/>
                <w:sz w:val="19"/>
                <w:szCs w:val="19"/>
              </w:rPr>
              <w:t xml:space="preserve">0,5 h</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bCs/>
                <w:i w:val="false"/>
                <w:iCs w:val="false"/>
                <w:caps w:val="false"/>
                <w:color w:val="1B2733"/>
                <w:sz w:val="21"/>
                <w:szCs w:val="21"/>
              </w:rPr>
              <w:t xml:space="preserve">6 580 €</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C2</w:t>
            </w:r>
          </w:p>
        </w:tc>
        <w:tc>
          <w:tcPr>
            <w:tcW w:type="dxa" w:w="47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Éradication des identifiants par défaut, comptes nominatifs, coffre-fort de secrets</w:t>
            </w:r>
          </w:p>
        </w:tc>
        <w:tc>
          <w:tcPr>
            <w:tcW w:type="dxa" w:w="14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9"/>
                <w:szCs w:val="19"/>
              </w:rPr>
              <w:t xml:space="preserve">4 j int.</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val="false"/>
                <w:bCs w:val="false"/>
                <w:i w:val="false"/>
                <w:iCs w:val="false"/>
                <w:caps w:val="false"/>
                <w:color w:val="1B2733"/>
                <w:sz w:val="19"/>
                <w:szCs w:val="19"/>
              </w:rPr>
              <w:t xml:space="preserve">0</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bCs/>
                <w:i w:val="false"/>
                <w:iCs w:val="false"/>
                <w:caps w:val="false"/>
                <w:color w:val="1B2733"/>
                <w:sz w:val="21"/>
                <w:szCs w:val="21"/>
              </w:rPr>
              <w:t xml:space="preserve">1 920 €</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C3</w:t>
            </w:r>
          </w:p>
        </w:tc>
        <w:tc>
          <w:tcPr>
            <w:tcW w:type="dxa" w:w="47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Retrait de Kali et Caldera du réseau de production ; inventaire des actifs</w:t>
            </w:r>
          </w:p>
        </w:tc>
        <w:tc>
          <w:tcPr>
            <w:tcW w:type="dxa" w:w="14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9"/>
                <w:szCs w:val="19"/>
              </w:rPr>
              <w:t xml:space="preserve">1 j int.</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val="false"/>
                <w:bCs w:val="false"/>
                <w:i w:val="false"/>
                <w:iCs w:val="false"/>
                <w:caps w:val="false"/>
                <w:color w:val="1B2733"/>
                <w:sz w:val="19"/>
                <w:szCs w:val="19"/>
              </w:rPr>
              <w:t xml:space="preserve">0</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bCs/>
                <w:i w:val="false"/>
                <w:iCs w:val="false"/>
                <w:caps w:val="false"/>
                <w:color w:val="1B2733"/>
                <w:sz w:val="21"/>
                <w:szCs w:val="21"/>
              </w:rPr>
              <w:t xml:space="preserve">480 €</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C4</w:t>
            </w:r>
          </w:p>
        </w:tc>
        <w:tc>
          <w:tcPr>
            <w:tcW w:type="dxa" w:w="47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Paramétrage de l'IDS : MODBUS_CLIENT limité, surveillance de la zone OT, règles Quickdraw</w:t>
            </w:r>
          </w:p>
        </w:tc>
        <w:tc>
          <w:tcPr>
            <w:tcW w:type="dxa" w:w="14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9"/>
                <w:szCs w:val="19"/>
              </w:rPr>
              <w:t xml:space="preserve">2 j ext.</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val="false"/>
                <w:bCs w:val="false"/>
                <w:i w:val="false"/>
                <w:iCs w:val="false"/>
                <w:caps w:val="false"/>
                <w:color w:val="1B2733"/>
                <w:sz w:val="19"/>
                <w:szCs w:val="19"/>
              </w:rPr>
              <w:t xml:space="preserve">0</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bCs/>
                <w:i w:val="false"/>
                <w:iCs w:val="false"/>
                <w:caps w:val="false"/>
                <w:color w:val="1B2733"/>
                <w:sz w:val="21"/>
                <w:szCs w:val="21"/>
              </w:rPr>
              <w:t xml:space="preserve">1 900 €</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C5</w:t>
            </w:r>
          </w:p>
        </w:tc>
        <w:tc>
          <w:tcPr>
            <w:tcW w:type="dxa" w:w="47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Activation du SIEM, agents sur tous les actifs, 6 règles d'alerte OT</w:t>
            </w:r>
          </w:p>
        </w:tc>
        <w:tc>
          <w:tcPr>
            <w:tcW w:type="dxa" w:w="14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9"/>
                <w:szCs w:val="19"/>
              </w:rPr>
              <w:t xml:space="preserve">2 j int. + 3 j ext.</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val="false"/>
                <w:bCs w:val="false"/>
                <w:i w:val="false"/>
                <w:iCs w:val="false"/>
                <w:caps w:val="false"/>
                <w:color w:val="1B2733"/>
                <w:sz w:val="19"/>
                <w:szCs w:val="19"/>
              </w:rPr>
              <w:t xml:space="preserve">0</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bCs/>
                <w:i w:val="false"/>
                <w:iCs w:val="false"/>
                <w:caps w:val="false"/>
                <w:color w:val="1B2733"/>
                <w:sz w:val="21"/>
                <w:szCs w:val="21"/>
              </w:rPr>
              <w:t xml:space="preserve">6 010 €</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C6</w:t>
            </w:r>
          </w:p>
        </w:tc>
        <w:tc>
          <w:tcPr>
            <w:tcW w:type="dxa" w:w="47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Sauvegarde hors ligne (programme, config IHM, règles pare-feu) + empreintes SHA-256</w:t>
            </w:r>
          </w:p>
        </w:tc>
        <w:tc>
          <w:tcPr>
            <w:tcW w:type="dxa" w:w="14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9"/>
                <w:szCs w:val="19"/>
              </w:rPr>
              <w:t xml:space="preserve">2 j int.</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val="false"/>
                <w:bCs w:val="false"/>
                <w:i w:val="false"/>
                <w:iCs w:val="false"/>
                <w:caps w:val="false"/>
                <w:color w:val="1B2733"/>
                <w:sz w:val="19"/>
                <w:szCs w:val="19"/>
              </w:rPr>
              <w:t xml:space="preserve">0</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bCs/>
                <w:i w:val="false"/>
                <w:iCs w:val="false"/>
                <w:caps w:val="false"/>
                <w:color w:val="1B2733"/>
                <w:sz w:val="21"/>
                <w:szCs w:val="21"/>
              </w:rPr>
              <w:t xml:space="preserve">960 €</w:t>
            </w:r>
          </w:p>
        </w:tc>
      </w:tr>
      <w:tr>
        <w:tc>
          <w:tcPr>
            <w:tcW w:type="dxa" w:w="8300"/>
            <w:gridSpan w:val="4"/>
            <w:shd w:fill="E7EEF4" w:color="auto" w:val="clear"/>
            <w:tcMar>
              <w:top w:type="dxa" w:w="60"/>
              <w:left w:type="dxa" w:w="90"/>
              <w:bottom w:type="dxa" w:w="60"/>
              <w:right w:type="dxa" w:w="90"/>
            </w:tcMar>
          </w:tcPr>
          <w:p>
            <w:pPr>
              <w:spacing w:after="0" w:before="0" w:line="276"/>
              <w:jc w:val="right"/>
            </w:pPr>
            <w:r>
              <w:rPr>
                <w:rFonts w:ascii="Calibri" w:cs="Calibri" w:eastAsia="Calibri" w:hAnsi="Calibri"/>
                <w:b/>
                <w:bCs/>
                <w:i w:val="false"/>
                <w:iCs w:val="false"/>
                <w:caps w:val="false"/>
                <w:color w:val="1B2733"/>
                <w:sz w:val="21"/>
                <w:szCs w:val="21"/>
              </w:rPr>
              <w:t xml:space="preserve">Sous-total lot 0</w:t>
            </w:r>
          </w:p>
        </w:tc>
        <w:tc>
          <w:tcPr>
            <w:tcW w:type="dxa" w:w="1300"/>
            <w:shd w:fill="E7EEF4" w:color="auto" w:val="clear"/>
            <w:tcMar>
              <w:top w:type="dxa" w:w="60"/>
              <w:left w:type="dxa" w:w="90"/>
              <w:bottom w:type="dxa" w:w="60"/>
              <w:right w:type="dxa" w:w="90"/>
            </w:tcMar>
            <w:vAlign w:val="center"/>
          </w:tcPr>
          <w:p>
            <w:pPr>
              <w:spacing w:after="0" w:before="0" w:line="276"/>
              <w:jc w:val="right"/>
            </w:pPr>
            <w:r>
              <w:rPr>
                <w:rFonts w:ascii="Calibri" w:cs="Calibri" w:eastAsia="Calibri" w:hAnsi="Calibri"/>
                <w:b/>
                <w:bCs/>
                <w:i w:val="false"/>
                <w:iCs w:val="false"/>
                <w:caps w:val="false"/>
                <w:color w:val="1B2733"/>
                <w:sz w:val="21"/>
                <w:szCs w:val="21"/>
              </w:rPr>
              <w:t xml:space="preserve">17 850 €</w:t>
            </w:r>
          </w:p>
        </w:tc>
      </w:tr>
    </w:tbl>
    <w:p>
      <w:pPr>
        <w:spacing w:after="100" w:before="0" w:line="276"/>
      </w:pPr>
      <w:r>
        <w:rPr>
          <w:rFonts w:ascii="Calibri" w:cs="Calibri" w:eastAsia="Calibri" w:hAnsi="Calibri"/>
          <w:b w:val="false"/>
          <w:bCs w:val="false"/>
          <w:i w:val="false"/>
          <w:iCs w:val="false"/>
          <w:caps w:val="false"/>
          <w:color w:val="1B2733"/>
          <w:sz w:val="21"/>
          <w:szCs w:val="21"/>
        </w:rPr>
        <w:t xml:space="preserve"/>
      </w:r>
    </w:p>
    <w:p>
      <w:pPr>
        <w:spacing w:after="120" w:before="0" w:line="276"/>
      </w:pPr>
      <w:r>
        <w:rPr>
          <w:rFonts w:ascii="Calibri" w:cs="Calibri" w:eastAsia="Calibri" w:hAnsi="Calibri"/>
          <w:b/>
          <w:bCs/>
          <w:i w:val="false"/>
          <w:iCs w:val="false"/>
          <w:caps w:val="false"/>
          <w:color w:val="1B2733"/>
          <w:sz w:val="21"/>
          <w:szCs w:val="21"/>
        </w:rPr>
        <w:t xml:space="preserve">Pourquoi ce lot d'abord : </w:t>
      </w:r>
      <w:r>
        <w:rPr>
          <w:rFonts w:ascii="Calibri" w:cs="Calibri" w:eastAsia="Calibri" w:hAnsi="Calibri"/>
          <w:b w:val="false"/>
          <w:bCs w:val="false"/>
          <w:i w:val="false"/>
          <w:iCs w:val="false"/>
          <w:caps w:val="false"/>
          <w:color w:val="1B2733"/>
          <w:sz w:val="21"/>
          <w:szCs w:val="21"/>
        </w:rPr>
        <w:t xml:space="preserve">8 % du budget, il supprime les trois premiers maillons de la chaîne d'attaque (pivot libre, identifiants par défaut, absence de détection) et fait passer les deux zones de SL 0 à SL 2.</w:t>
      </w:r>
    </w:p>
    <w:p>
      <w:pPr>
        <w:pStyle w:val="Heading2"/>
        <w:keepNext/>
        <w:spacing w:after="100" w:before="220"/>
      </w:pPr>
      <w:r>
        <w:rPr>
          <w:rFonts w:ascii="Calibri" w:cs="Calibri" w:eastAsia="Calibri" w:hAnsi="Calibri"/>
          <w:b/>
          <w:bCs/>
          <w:color w:val="33475B"/>
          <w:sz w:val="24"/>
          <w:szCs w:val="24"/>
        </w:rPr>
        <w:t xml:space="preserve">Lot 1 — Consolidation (1 à 3 mois, SL 2 confirmé)</w:t>
      </w:r>
    </w:p>
    <w:tbl>
      <w:tblPr>
        <w:tblW w:type="dxa" w:w="9600"/>
        <w:tblBorders>
          <w:top w:val="single" w:color="C7D0D8" w:sz="2"/>
          <w:left w:val="single" w:color="C7D0D8" w:sz="2"/>
          <w:bottom w:val="single" w:color="C7D0D8" w:sz="2"/>
          <w:right w:val="single" w:color="C7D0D8" w:sz="2"/>
          <w:insideH w:val="single" w:color="C7D0D8" w:sz="2"/>
          <w:insideV w:val="single" w:color="C7D0D8" w:sz="2"/>
        </w:tblBorders>
      </w:tblPr>
      <w:tblGrid>
        <w:gridCol w:w="900"/>
        <w:gridCol w:w="4700"/>
        <w:gridCol w:w="1400"/>
        <w:gridCol w:w="1300"/>
        <w:gridCol w:w="1300"/>
      </w:tblGrid>
      <w:tr>
        <w:trPr>
          <w:tblHeader/>
        </w:trPr>
        <w:tc>
          <w:tcPr>
            <w:tcW w:type="dxa" w:w="9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Réf</w:t>
            </w:r>
          </w:p>
        </w:tc>
        <w:tc>
          <w:tcPr>
            <w:tcW w:type="dxa" w:w="47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Correctif</w:t>
            </w:r>
          </w:p>
        </w:tc>
        <w:tc>
          <w:tcPr>
            <w:tcW w:type="dxa" w:w="14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Délai</w:t>
            </w:r>
          </w:p>
        </w:tc>
        <w:tc>
          <w:tcPr>
            <w:tcW w:type="dxa" w:w="13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Arrêt</w:t>
            </w:r>
          </w:p>
        </w:tc>
        <w:tc>
          <w:tcPr>
            <w:tcW w:type="dxa" w:w="13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Coût</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C7</w:t>
            </w:r>
          </w:p>
        </w:tc>
        <w:tc>
          <w:tcPr>
            <w:tcW w:type="dxa" w:w="47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Bastion d'administration avec double facteur, suppression des accès directs</w:t>
            </w:r>
          </w:p>
        </w:tc>
        <w:tc>
          <w:tcPr>
            <w:tcW w:type="dxa" w:w="14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9"/>
                <w:szCs w:val="19"/>
              </w:rPr>
              <w:t xml:space="preserve">3 j int. + 3 j ext.</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val="false"/>
                <w:bCs w:val="false"/>
                <w:i w:val="false"/>
                <w:iCs w:val="false"/>
                <w:caps w:val="false"/>
                <w:color w:val="1B2733"/>
                <w:sz w:val="19"/>
                <w:szCs w:val="19"/>
              </w:rPr>
              <w:t xml:space="preserve">0</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bCs/>
                <w:i w:val="false"/>
                <w:iCs w:val="false"/>
                <w:caps w:val="false"/>
                <w:color w:val="1B2733"/>
                <w:sz w:val="21"/>
                <w:szCs w:val="21"/>
              </w:rPr>
              <w:t xml:space="preserve">6 790 €</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C8</w:t>
            </w:r>
          </w:p>
        </w:tc>
        <w:tc>
          <w:tcPr>
            <w:tcW w:type="dxa" w:w="47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TLS interne (PKI) sur toutes les interfaces, désactivation de HTTP et du VNC en clair</w:t>
            </w:r>
          </w:p>
        </w:tc>
        <w:tc>
          <w:tcPr>
            <w:tcW w:type="dxa" w:w="14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9"/>
                <w:szCs w:val="19"/>
              </w:rPr>
              <w:t xml:space="preserve">4 j int.</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val="false"/>
                <w:bCs w:val="false"/>
                <w:i w:val="false"/>
                <w:iCs w:val="false"/>
                <w:caps w:val="false"/>
                <w:color w:val="1B2733"/>
                <w:sz w:val="19"/>
                <w:szCs w:val="19"/>
              </w:rPr>
              <w:t xml:space="preserve">0</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bCs/>
                <w:i w:val="false"/>
                <w:iCs w:val="false"/>
                <w:caps w:val="false"/>
                <w:color w:val="1B2733"/>
                <w:sz w:val="21"/>
                <w:szCs w:val="21"/>
              </w:rPr>
              <w:t xml:space="preserve">2 220 €</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C9</w:t>
            </w:r>
          </w:p>
        </w:tc>
        <w:tc>
          <w:tcPr>
            <w:tcW w:type="dxa" w:w="47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Durcissement automate : interface fermée en exploitation, comptes nominatifs, sortie de la distribution EOL</w:t>
            </w:r>
          </w:p>
        </w:tc>
        <w:tc>
          <w:tcPr>
            <w:tcW w:type="dxa" w:w="14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9"/>
                <w:szCs w:val="19"/>
              </w:rPr>
              <w:t xml:space="preserve">2 j int. + 5 j ext.</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val="false"/>
                <w:bCs w:val="false"/>
                <w:i w:val="false"/>
                <w:iCs w:val="false"/>
                <w:caps w:val="false"/>
                <w:color w:val="1B2733"/>
                <w:sz w:val="19"/>
                <w:szCs w:val="19"/>
              </w:rPr>
              <w:t xml:space="preserve">1 h</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bCs/>
                <w:i w:val="false"/>
                <w:iCs w:val="false"/>
                <w:caps w:val="false"/>
                <w:color w:val="1B2733"/>
                <w:sz w:val="21"/>
                <w:szCs w:val="21"/>
              </w:rPr>
              <w:t xml:space="preserve">12 210 €</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C10</w:t>
            </w:r>
          </w:p>
        </w:tc>
        <w:tc>
          <w:tcPr>
            <w:tcW w:type="dxa" w:w="47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Déplacement de l'IHM en zone de conduite (N2), relais OPC UA en DMZ</w:t>
            </w:r>
          </w:p>
        </w:tc>
        <w:tc>
          <w:tcPr>
            <w:tcW w:type="dxa" w:w="14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9"/>
                <w:szCs w:val="19"/>
              </w:rPr>
              <w:t xml:space="preserve">1 j int. + 5 j ext.</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val="false"/>
                <w:bCs w:val="false"/>
                <w:i w:val="false"/>
                <w:iCs w:val="false"/>
                <w:caps w:val="false"/>
                <w:color w:val="1B2733"/>
                <w:sz w:val="19"/>
                <w:szCs w:val="19"/>
              </w:rPr>
              <w:t xml:space="preserve">1 h</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bCs/>
                <w:i w:val="false"/>
                <w:iCs w:val="false"/>
                <w:caps w:val="false"/>
                <w:color w:val="1B2733"/>
                <w:sz w:val="21"/>
                <w:szCs w:val="21"/>
              </w:rPr>
              <w:t xml:space="preserve">11 730 €</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C11</w:t>
            </w:r>
          </w:p>
        </w:tc>
        <w:tc>
          <w:tcPr>
            <w:tcW w:type="dxa" w:w="47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Durcissement Scada-LTS : version, rôles, condensats robustes, comptes de base dédiés</w:t>
            </w:r>
          </w:p>
        </w:tc>
        <w:tc>
          <w:tcPr>
            <w:tcW w:type="dxa" w:w="14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9"/>
                <w:szCs w:val="19"/>
              </w:rPr>
              <w:t xml:space="preserve">1 j int. + 3 j ext.</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val="false"/>
                <w:bCs w:val="false"/>
                <w:i w:val="false"/>
                <w:iCs w:val="false"/>
                <w:caps w:val="false"/>
                <w:color w:val="1B2733"/>
                <w:sz w:val="19"/>
                <w:szCs w:val="19"/>
              </w:rPr>
              <w:t xml:space="preserve">0</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bCs/>
                <w:i w:val="false"/>
                <w:iCs w:val="false"/>
                <w:caps w:val="false"/>
                <w:color w:val="1B2733"/>
                <w:sz w:val="21"/>
                <w:szCs w:val="21"/>
              </w:rPr>
              <w:t xml:space="preserve">3 330 €</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C12</w:t>
            </w:r>
          </w:p>
        </w:tc>
        <w:tc>
          <w:tcPr>
            <w:tcW w:type="dxa" w:w="47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Journalisation des accès d'administration, source de temps interne</w:t>
            </w:r>
          </w:p>
        </w:tc>
        <w:tc>
          <w:tcPr>
            <w:tcW w:type="dxa" w:w="14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9"/>
                <w:szCs w:val="19"/>
              </w:rPr>
              <w:t xml:space="preserve">2 j int.</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val="false"/>
                <w:bCs w:val="false"/>
                <w:i w:val="false"/>
                <w:iCs w:val="false"/>
                <w:caps w:val="false"/>
                <w:color w:val="1B2733"/>
                <w:sz w:val="19"/>
                <w:szCs w:val="19"/>
              </w:rPr>
              <w:t xml:space="preserve">0</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bCs/>
                <w:i w:val="false"/>
                <w:iCs w:val="false"/>
                <w:caps w:val="false"/>
                <w:color w:val="1B2733"/>
                <w:sz w:val="21"/>
                <w:szCs w:val="21"/>
              </w:rPr>
              <w:t xml:space="preserve">960 €</w:t>
            </w:r>
          </w:p>
        </w:tc>
      </w:tr>
      <w:tr>
        <w:tc>
          <w:tcPr>
            <w:tcW w:type="dxa" w:w="8300"/>
            <w:gridSpan w:val="4"/>
            <w:shd w:fill="E7EEF4" w:color="auto" w:val="clear"/>
            <w:tcMar>
              <w:top w:type="dxa" w:w="60"/>
              <w:left w:type="dxa" w:w="90"/>
              <w:bottom w:type="dxa" w:w="60"/>
              <w:right w:type="dxa" w:w="90"/>
            </w:tcMar>
          </w:tcPr>
          <w:p>
            <w:pPr>
              <w:spacing w:after="0" w:before="0" w:line="276"/>
              <w:jc w:val="right"/>
            </w:pPr>
            <w:r>
              <w:rPr>
                <w:rFonts w:ascii="Calibri" w:cs="Calibri" w:eastAsia="Calibri" w:hAnsi="Calibri"/>
                <w:b/>
                <w:bCs/>
                <w:i w:val="false"/>
                <w:iCs w:val="false"/>
                <w:caps w:val="false"/>
                <w:color w:val="1B2733"/>
                <w:sz w:val="21"/>
                <w:szCs w:val="21"/>
              </w:rPr>
              <w:t xml:space="preserve">Sous-total lot 1</w:t>
            </w:r>
          </w:p>
        </w:tc>
        <w:tc>
          <w:tcPr>
            <w:tcW w:type="dxa" w:w="1300"/>
            <w:shd w:fill="E7EEF4" w:color="auto" w:val="clear"/>
            <w:tcMar>
              <w:top w:type="dxa" w:w="60"/>
              <w:left w:type="dxa" w:w="90"/>
              <w:bottom w:type="dxa" w:w="60"/>
              <w:right w:type="dxa" w:w="90"/>
            </w:tcMar>
            <w:vAlign w:val="center"/>
          </w:tcPr>
          <w:p>
            <w:pPr>
              <w:spacing w:after="0" w:before="0" w:line="276"/>
              <w:jc w:val="right"/>
            </w:pPr>
            <w:r>
              <w:rPr>
                <w:rFonts w:ascii="Calibri" w:cs="Calibri" w:eastAsia="Calibri" w:hAnsi="Calibri"/>
                <w:b/>
                <w:bCs/>
                <w:i w:val="false"/>
                <w:iCs w:val="false"/>
                <w:caps w:val="false"/>
                <w:color w:val="1B2733"/>
                <w:sz w:val="21"/>
                <w:szCs w:val="21"/>
              </w:rPr>
              <w:t xml:space="preserve">37 240 €</w:t>
            </w:r>
          </w:p>
        </w:tc>
      </w:tr>
    </w:tbl>
    <w:p>
      <w:pPr>
        <w:spacing w:after="100" w:before="0" w:line="276"/>
      </w:pPr>
      <w:r>
        <w:rPr>
          <w:rFonts w:ascii="Calibri" w:cs="Calibri" w:eastAsia="Calibri" w:hAnsi="Calibri"/>
          <w:b w:val="false"/>
          <w:bCs w:val="false"/>
          <w:i w:val="false"/>
          <w:iCs w:val="false"/>
          <w:caps w:val="false"/>
          <w:color w:val="1B2733"/>
          <w:sz w:val="21"/>
          <w:szCs w:val="21"/>
        </w:rPr>
        <w:t xml:space="preserve"/>
      </w:r>
    </w:p>
    <w:p>
      <w:pPr>
        <w:pStyle w:val="Heading2"/>
        <w:keepNext/>
        <w:spacing w:after="100" w:before="220"/>
      </w:pPr>
      <w:r>
        <w:rPr>
          <w:rFonts w:ascii="Calibri" w:cs="Calibri" w:eastAsia="Calibri" w:hAnsi="Calibri"/>
          <w:b/>
          <w:bCs/>
          <w:color w:val="33475B"/>
          <w:sz w:val="24"/>
          <w:szCs w:val="24"/>
        </w:rPr>
        <w:t xml:space="preserve">Lot 2 — Structurel (3 à 12 mois, SL 3 sur contrôle et procédé)</w:t>
      </w:r>
    </w:p>
    <w:tbl>
      <w:tblPr>
        <w:tblW w:type="dxa" w:w="9600"/>
        <w:tblBorders>
          <w:top w:val="single" w:color="C7D0D8" w:sz="2"/>
          <w:left w:val="single" w:color="C7D0D8" w:sz="2"/>
          <w:bottom w:val="single" w:color="C7D0D8" w:sz="2"/>
          <w:right w:val="single" w:color="C7D0D8" w:sz="2"/>
          <w:insideH w:val="single" w:color="C7D0D8" w:sz="2"/>
          <w:insideV w:val="single" w:color="C7D0D8" w:sz="2"/>
        </w:tblBorders>
      </w:tblPr>
      <w:tblGrid>
        <w:gridCol w:w="900"/>
        <w:gridCol w:w="4700"/>
        <w:gridCol w:w="1400"/>
        <w:gridCol w:w="1300"/>
        <w:gridCol w:w="1300"/>
      </w:tblGrid>
      <w:tr>
        <w:trPr>
          <w:tblHeader/>
        </w:trPr>
        <w:tc>
          <w:tcPr>
            <w:tcW w:type="dxa" w:w="9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Réf</w:t>
            </w:r>
          </w:p>
        </w:tc>
        <w:tc>
          <w:tcPr>
            <w:tcW w:type="dxa" w:w="47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Correctif</w:t>
            </w:r>
          </w:p>
        </w:tc>
        <w:tc>
          <w:tcPr>
            <w:tcW w:type="dxa" w:w="14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Délai</w:t>
            </w:r>
          </w:p>
        </w:tc>
        <w:tc>
          <w:tcPr>
            <w:tcW w:type="dxa" w:w="13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Arrêt</w:t>
            </w:r>
          </w:p>
        </w:tc>
        <w:tc>
          <w:tcPr>
            <w:tcW w:type="dxa" w:w="13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Coût</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C13</w:t>
            </w:r>
          </w:p>
        </w:tc>
        <w:tc>
          <w:tcPr>
            <w:tcW w:type="dxa" w:w="47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Re-segmentation physique : 2 commutateurs L3 (VLAN, DAI, 802.1X), suppression du réseau d'admin hors bande</w:t>
            </w:r>
          </w:p>
        </w:tc>
        <w:tc>
          <w:tcPr>
            <w:tcW w:type="dxa" w:w="14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9"/>
                <w:szCs w:val="19"/>
              </w:rPr>
              <w:t xml:space="preserve">2 j int. + 8 j ext.</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val="false"/>
                <w:bCs w:val="false"/>
                <w:i w:val="false"/>
                <w:iCs w:val="false"/>
                <w:caps w:val="false"/>
                <w:color w:val="1B2733"/>
                <w:sz w:val="19"/>
                <w:szCs w:val="19"/>
              </w:rPr>
              <w:t xml:space="preserve">2 h</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bCs/>
                <w:i w:val="false"/>
                <w:iCs w:val="false"/>
                <w:caps w:val="false"/>
                <w:color w:val="1B2733"/>
                <w:sz w:val="21"/>
                <w:szCs w:val="21"/>
              </w:rPr>
              <w:t xml:space="preserve">27 960 €</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C14</w:t>
            </w:r>
          </w:p>
        </w:tc>
        <w:tc>
          <w:tcPr>
            <w:tcW w:type="dxa" w:w="47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Pare-feu industriel à inspection Modbus : liste blanche de codes fonction, bornage des consignes</w:t>
            </w:r>
          </w:p>
        </w:tc>
        <w:tc>
          <w:tcPr>
            <w:tcW w:type="dxa" w:w="14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9"/>
                <w:szCs w:val="19"/>
              </w:rPr>
              <w:t xml:space="preserve">1 j int. + 6 j ext.</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val="false"/>
                <w:bCs w:val="false"/>
                <w:i w:val="false"/>
                <w:iCs w:val="false"/>
                <w:caps w:val="false"/>
                <w:color w:val="1B2733"/>
                <w:sz w:val="19"/>
                <w:szCs w:val="19"/>
              </w:rPr>
              <w:t xml:space="preserve">1 h</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bCs/>
                <w:i w:val="false"/>
                <w:iCs w:val="false"/>
                <w:caps w:val="false"/>
                <w:color w:val="1B2733"/>
                <w:sz w:val="21"/>
                <w:szCs w:val="21"/>
              </w:rPr>
              <w:t xml:space="preserve">21 180 €</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C15</w:t>
            </w:r>
          </w:p>
        </w:tc>
        <w:tc>
          <w:tcPr>
            <w:tcW w:type="dxa" w:w="47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Barrière de sécurité indépendante : capteur dédié, automate SIL 2, interlock câblé, organe de décharge</w:t>
            </w:r>
          </w:p>
        </w:tc>
        <w:tc>
          <w:tcPr>
            <w:tcW w:type="dxa" w:w="14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9"/>
                <w:szCs w:val="19"/>
              </w:rPr>
              <w:t xml:space="preserve">5 j int. + 10 j ext.</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val="false"/>
                <w:bCs w:val="false"/>
                <w:i w:val="false"/>
                <w:iCs w:val="false"/>
                <w:caps w:val="false"/>
                <w:color w:val="1B2733"/>
                <w:sz w:val="19"/>
                <w:szCs w:val="19"/>
              </w:rPr>
              <w:t xml:space="preserve">8 h</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bCs/>
                <w:i w:val="false"/>
                <w:iCs w:val="false"/>
                <w:caps w:val="false"/>
                <w:color w:val="1B2733"/>
                <w:sz w:val="21"/>
                <w:szCs w:val="21"/>
              </w:rPr>
              <w:t xml:space="preserve">95 900 €</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C16</w:t>
            </w:r>
          </w:p>
        </w:tc>
        <w:tc>
          <w:tcPr>
            <w:tcW w:type="dxa" w:w="47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Sauvegardes hors ligne, PRA testé, jumeau numérique de validation</w:t>
            </w:r>
          </w:p>
        </w:tc>
        <w:tc>
          <w:tcPr>
            <w:tcW w:type="dxa" w:w="14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9"/>
                <w:szCs w:val="19"/>
              </w:rPr>
              <w:t xml:space="preserve">6 j int.</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val="false"/>
                <w:bCs w:val="false"/>
                <w:i w:val="false"/>
                <w:iCs w:val="false"/>
                <w:caps w:val="false"/>
                <w:color w:val="1B2733"/>
                <w:sz w:val="19"/>
                <w:szCs w:val="19"/>
              </w:rPr>
              <w:t xml:space="preserve">0</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bCs/>
                <w:i w:val="false"/>
                <w:iCs w:val="false"/>
                <w:caps w:val="false"/>
                <w:color w:val="1B2733"/>
                <w:sz w:val="21"/>
                <w:szCs w:val="21"/>
              </w:rPr>
              <w:t xml:space="preserve">4 380 €</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C17</w:t>
            </w:r>
          </w:p>
        </w:tc>
        <w:tc>
          <w:tcPr>
            <w:tcW w:type="dxa" w:w="47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Formation des équipes (20 personnes) et exercice de crise annuel</w:t>
            </w:r>
          </w:p>
        </w:tc>
        <w:tc>
          <w:tcPr>
            <w:tcW w:type="dxa" w:w="14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9"/>
                <w:szCs w:val="19"/>
              </w:rPr>
              <w:t xml:space="preserve">2 j int. + 6 j ext.</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val="false"/>
                <w:bCs w:val="false"/>
                <w:i w:val="false"/>
                <w:iCs w:val="false"/>
                <w:caps w:val="false"/>
                <w:color w:val="1B2733"/>
                <w:sz w:val="19"/>
                <w:szCs w:val="19"/>
              </w:rPr>
              <w:t xml:space="preserve">0</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bCs/>
                <w:i w:val="false"/>
                <w:iCs w:val="false"/>
                <w:caps w:val="false"/>
                <w:color w:val="1B2733"/>
                <w:sz w:val="21"/>
                <w:szCs w:val="21"/>
              </w:rPr>
              <w:t xml:space="preserve">6 660 €</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C18</w:t>
            </w:r>
          </w:p>
        </w:tc>
        <w:tc>
          <w:tcPr>
            <w:tcW w:type="dxa" w:w="47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Audit de conformité IEC 62443-3-3 et test d'intrusion sur jumeau numérique</w:t>
            </w:r>
          </w:p>
        </w:tc>
        <w:tc>
          <w:tcPr>
            <w:tcW w:type="dxa" w:w="1400"/>
            <w:tcMar>
              <w:top w:type="dxa" w:w="60"/>
              <w:left w:type="dxa" w:w="90"/>
              <w:bottom w:type="dxa" w:w="60"/>
              <w:right w:type="dxa" w:w="90"/>
            </w:tcMar>
            <w:vAlign w:val="center"/>
          </w:tcPr>
          <w:p>
            <w:pPr>
              <w:spacing w:after="0" w:before="0" w:line="276"/>
            </w:pPr>
            <w:r>
              <w:rPr>
                <w:rFonts w:ascii="Calibri" w:cs="Calibri" w:eastAsia="Calibri" w:hAnsi="Calibri"/>
                <w:b w:val="false"/>
                <w:bCs w:val="false"/>
                <w:i w:val="false"/>
                <w:iCs w:val="false"/>
                <w:caps w:val="false"/>
                <w:color w:val="1B2733"/>
                <w:sz w:val="19"/>
                <w:szCs w:val="19"/>
              </w:rPr>
              <w:t xml:space="preserve">12 j ext.</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val="false"/>
                <w:bCs w:val="false"/>
                <w:i w:val="false"/>
                <w:iCs w:val="false"/>
                <w:caps w:val="false"/>
                <w:color w:val="1B2733"/>
                <w:sz w:val="19"/>
                <w:szCs w:val="19"/>
              </w:rPr>
              <w:t xml:space="preserve">0</w:t>
            </w:r>
          </w:p>
        </w:tc>
        <w:tc>
          <w:tcPr>
            <w:tcW w:type="dxa" w:w="1300"/>
            <w:tcMar>
              <w:top w:type="dxa" w:w="60"/>
              <w:left w:type="dxa" w:w="90"/>
              <w:bottom w:type="dxa" w:w="60"/>
              <w:right w:type="dxa" w:w="90"/>
            </w:tcMar>
            <w:vAlign w:val="center"/>
          </w:tcPr>
          <w:p>
            <w:pPr>
              <w:spacing w:after="0" w:before="0" w:line="276"/>
              <w:jc w:val="right"/>
            </w:pPr>
            <w:r>
              <w:rPr>
                <w:rFonts w:ascii="Calibri" w:cs="Calibri" w:eastAsia="Calibri" w:hAnsi="Calibri"/>
                <w:b/>
                <w:bCs/>
                <w:i w:val="false"/>
                <w:iCs w:val="false"/>
                <w:caps w:val="false"/>
                <w:color w:val="1B2733"/>
                <w:sz w:val="21"/>
                <w:szCs w:val="21"/>
              </w:rPr>
              <w:t xml:space="preserve">11 400 €</w:t>
            </w:r>
          </w:p>
        </w:tc>
      </w:tr>
      <w:tr>
        <w:tc>
          <w:tcPr>
            <w:tcW w:type="dxa" w:w="8300"/>
            <w:gridSpan w:val="4"/>
            <w:shd w:fill="E7EEF4" w:color="auto" w:val="clear"/>
            <w:tcMar>
              <w:top w:type="dxa" w:w="60"/>
              <w:left w:type="dxa" w:w="90"/>
              <w:bottom w:type="dxa" w:w="60"/>
              <w:right w:type="dxa" w:w="90"/>
            </w:tcMar>
          </w:tcPr>
          <w:p>
            <w:pPr>
              <w:spacing w:after="0" w:before="0" w:line="276"/>
              <w:jc w:val="right"/>
            </w:pPr>
            <w:r>
              <w:rPr>
                <w:rFonts w:ascii="Calibri" w:cs="Calibri" w:eastAsia="Calibri" w:hAnsi="Calibri"/>
                <w:b/>
                <w:bCs/>
                <w:i w:val="false"/>
                <w:iCs w:val="false"/>
                <w:caps w:val="false"/>
                <w:color w:val="1B2733"/>
                <w:sz w:val="21"/>
                <w:szCs w:val="21"/>
              </w:rPr>
              <w:t xml:space="preserve">Sous-total lot 2</w:t>
            </w:r>
          </w:p>
        </w:tc>
        <w:tc>
          <w:tcPr>
            <w:tcW w:type="dxa" w:w="1300"/>
            <w:shd w:fill="E7EEF4" w:color="auto" w:val="clear"/>
            <w:tcMar>
              <w:top w:type="dxa" w:w="60"/>
              <w:left w:type="dxa" w:w="90"/>
              <w:bottom w:type="dxa" w:w="60"/>
              <w:right w:type="dxa" w:w="90"/>
            </w:tcMar>
            <w:vAlign w:val="center"/>
          </w:tcPr>
          <w:p>
            <w:pPr>
              <w:spacing w:after="0" w:before="0" w:line="276"/>
              <w:jc w:val="right"/>
            </w:pPr>
            <w:r>
              <w:rPr>
                <w:rFonts w:ascii="Calibri" w:cs="Calibri" w:eastAsia="Calibri" w:hAnsi="Calibri"/>
                <w:b/>
                <w:bCs/>
                <w:i w:val="false"/>
                <w:iCs w:val="false"/>
                <w:caps w:val="false"/>
                <w:color w:val="1B2733"/>
                <w:sz w:val="21"/>
                <w:szCs w:val="21"/>
              </w:rPr>
              <w:t xml:space="preserve">167 480 €</w:t>
            </w:r>
          </w:p>
        </w:tc>
      </w:tr>
    </w:tbl>
    <w:p>
      <w:pPr>
        <w:spacing w:after="100" w:before="0" w:line="276"/>
      </w:pPr>
      <w:r>
        <w:rPr>
          <w:rFonts w:ascii="Calibri" w:cs="Calibri" w:eastAsia="Calibri" w:hAnsi="Calibri"/>
          <w:b w:val="false"/>
          <w:bCs w:val="false"/>
          <w:i w:val="false"/>
          <w:iCs w:val="false"/>
          <w:caps w:val="false"/>
          <w:color w:val="1B2733"/>
          <w:sz w:val="21"/>
          <w:szCs w:val="21"/>
        </w:rPr>
        <w:t xml:space="preserve"/>
      </w:r>
    </w:p>
    <w:p>
      <w:pPr>
        <w:pStyle w:val="Heading2"/>
        <w:keepNext/>
        <w:spacing w:after="100" w:before="220"/>
      </w:pPr>
      <w:r>
        <w:rPr>
          <w:rFonts w:ascii="Calibri" w:cs="Calibri" w:eastAsia="Calibri" w:hAnsi="Calibri"/>
          <w:b/>
          <w:bCs/>
          <w:color w:val="33475B"/>
          <w:sz w:val="24"/>
          <w:szCs w:val="24"/>
        </w:rPr>
        <w:t xml:space="preserve">Matrice facilité × coût × efficacité</w:t>
      </w:r>
    </w:p>
    <w:p>
      <w:pPr>
        <w:spacing w:after="120" w:before="0" w:line="276"/>
      </w:pPr>
      <w:r>
        <w:rPr>
          <w:rFonts w:ascii="Calibri" w:cs="Calibri" w:eastAsia="Calibri" w:hAnsi="Calibri"/>
          <w:b w:val="false"/>
          <w:bCs w:val="false"/>
          <w:i w:val="false"/>
          <w:iCs w:val="false"/>
          <w:caps w:val="false"/>
          <w:color w:val="1B2733"/>
          <w:sz w:val="21"/>
          <w:szCs w:val="21"/>
        </w:rPr>
        <w:t xml:space="preserve">Chaque correctif est noté sur trois axes : la facilité de mise en place (rapidité, absence d'arrêt), le coût complet, et l'efficacité sur la chaîne d'attaque. Échelle : </w:t>
      </w:r>
      <w:r>
        <w:rPr>
          <w:rFonts w:ascii="Calibri" w:cs="Calibri" w:eastAsia="Calibri" w:hAnsi="Calibri"/>
          <w:b/>
          <w:bCs/>
          <w:i w:val="false"/>
          <w:iCs w:val="false"/>
          <w:caps w:val="false"/>
          <w:color w:val="2C6B50"/>
          <w:sz w:val="21"/>
          <w:szCs w:val="21"/>
        </w:rPr>
        <w:t xml:space="preserve">+++</w:t>
      </w:r>
      <w:r>
        <w:rPr>
          <w:rFonts w:ascii="Calibri" w:cs="Calibri" w:eastAsia="Calibri" w:hAnsi="Calibri"/>
          <w:b w:val="false"/>
          <w:bCs w:val="false"/>
          <w:i w:val="false"/>
          <w:iCs w:val="false"/>
          <w:caps w:val="false"/>
          <w:color w:val="1B2733"/>
          <w:sz w:val="21"/>
          <w:szCs w:val="21"/>
        </w:rPr>
        <w:t xml:space="preserve"> fort / facile / peu coûteux, </w:t>
      </w:r>
      <w:r>
        <w:rPr>
          <w:rFonts w:ascii="Calibri" w:cs="Calibri" w:eastAsia="Calibri" w:hAnsi="Calibri"/>
          <w:b/>
          <w:bCs/>
          <w:i w:val="false"/>
          <w:iCs w:val="false"/>
          <w:caps w:val="false"/>
          <w:color w:val="9E2A2A"/>
          <w:sz w:val="21"/>
          <w:szCs w:val="21"/>
        </w:rPr>
        <w:t xml:space="preserve">+</w:t>
      </w:r>
      <w:r>
        <w:rPr>
          <w:rFonts w:ascii="Calibri" w:cs="Calibri" w:eastAsia="Calibri" w:hAnsi="Calibri"/>
          <w:b w:val="false"/>
          <w:bCs w:val="false"/>
          <w:i w:val="false"/>
          <w:iCs w:val="false"/>
          <w:caps w:val="false"/>
          <w:color w:val="1B2733"/>
          <w:sz w:val="21"/>
          <w:szCs w:val="21"/>
        </w:rPr>
        <w:t xml:space="preserve"> faible / difficile / coûteux.</w:t>
      </w:r>
    </w:p>
    <w:tbl>
      <w:tblPr>
        <w:tblW w:type="dxa" w:w="9600"/>
        <w:tblBorders>
          <w:top w:val="single" w:color="C7D0D8" w:sz="2"/>
          <w:left w:val="single" w:color="C7D0D8" w:sz="2"/>
          <w:bottom w:val="single" w:color="C7D0D8" w:sz="2"/>
          <w:right w:val="single" w:color="C7D0D8" w:sz="2"/>
          <w:insideH w:val="single" w:color="C7D0D8" w:sz="2"/>
          <w:insideV w:val="single" w:color="C7D0D8" w:sz="2"/>
        </w:tblBorders>
      </w:tblPr>
      <w:tblGrid>
        <w:gridCol w:w="900"/>
        <w:gridCol w:w="4300"/>
        <w:gridCol w:w="1450"/>
        <w:gridCol w:w="1250"/>
        <w:gridCol w:w="1700"/>
      </w:tblGrid>
      <w:tr>
        <w:tc>
          <w:tcPr>
            <w:tcW w:type="dxa" w:w="9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Réf</w:t>
            </w:r>
          </w:p>
        </w:tc>
        <w:tc>
          <w:tcPr>
            <w:tcW w:type="dxa" w:w="43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Correctif</w:t>
            </w:r>
          </w:p>
        </w:tc>
        <w:tc>
          <w:tcPr>
            <w:tcW w:type="dxa" w:w="1450"/>
            <w:shd w:fill="14507B"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color w:val="FFFFFF"/>
                <w:sz w:val="17"/>
                <w:szCs w:val="17"/>
              </w:rPr>
              <w:t xml:space="preserve">Facilité</w:t>
            </w:r>
          </w:p>
        </w:tc>
        <w:tc>
          <w:tcPr>
            <w:tcW w:type="dxa" w:w="1250"/>
            <w:shd w:fill="14507B"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color w:val="FFFFFF"/>
                <w:sz w:val="17"/>
                <w:szCs w:val="17"/>
              </w:rPr>
              <w:t xml:space="preserve">Coût</w:t>
            </w:r>
          </w:p>
        </w:tc>
        <w:tc>
          <w:tcPr>
            <w:tcW w:type="dxa" w:w="1700"/>
            <w:shd w:fill="14507B" w:color="auto" w:val="clear"/>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color w:val="FFFFFF"/>
                <w:sz w:val="17"/>
                <w:szCs w:val="17"/>
              </w:rPr>
              <w:t xml:space="preserve">Efficacité</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C4</w:t>
            </w:r>
          </w:p>
        </w:tc>
        <w:tc>
          <w:tcPr>
            <w:tcW w:type="dxa" w:w="43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Paramétrage de l'IDS (variable Modbus, zone OT)</w:t>
            </w:r>
          </w:p>
        </w:tc>
        <w:tc>
          <w:tcPr>
            <w:tcW w:type="dxa" w:w="145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2C6B50"/>
                <w:sz w:val="21"/>
                <w:szCs w:val="21"/>
              </w:rPr>
              <w:t xml:space="preserve">+++</w:t>
            </w:r>
          </w:p>
        </w:tc>
        <w:tc>
          <w:tcPr>
            <w:tcW w:type="dxa" w:w="125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2C6B50"/>
                <w:sz w:val="21"/>
                <w:szCs w:val="21"/>
              </w:rPr>
              <w:t xml:space="preserve">+++</w:t>
            </w:r>
          </w:p>
        </w:tc>
        <w:tc>
          <w:tcPr>
            <w:tcW w:type="dxa" w:w="170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2C6B50"/>
                <w:sz w:val="21"/>
                <w:szCs w:val="21"/>
              </w:rPr>
              <w:t xml:space="preserve">+++</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C2</w:t>
            </w:r>
          </w:p>
        </w:tc>
        <w:tc>
          <w:tcPr>
            <w:tcW w:type="dxa" w:w="43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Éradication des mots de passe par défaut</w:t>
            </w:r>
          </w:p>
        </w:tc>
        <w:tc>
          <w:tcPr>
            <w:tcW w:type="dxa" w:w="145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2C6B50"/>
                <w:sz w:val="21"/>
                <w:szCs w:val="21"/>
              </w:rPr>
              <w:t xml:space="preserve">+++</w:t>
            </w:r>
          </w:p>
        </w:tc>
        <w:tc>
          <w:tcPr>
            <w:tcW w:type="dxa" w:w="125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2C6B50"/>
                <w:sz w:val="21"/>
                <w:szCs w:val="21"/>
              </w:rPr>
              <w:t xml:space="preserve">+++</w:t>
            </w:r>
          </w:p>
        </w:tc>
        <w:tc>
          <w:tcPr>
            <w:tcW w:type="dxa" w:w="170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2C6B50"/>
                <w:sz w:val="21"/>
                <w:szCs w:val="21"/>
              </w:rPr>
              <w:t xml:space="preserve">+++</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C1</w:t>
            </w:r>
          </w:p>
        </w:tc>
        <w:tc>
          <w:tcPr>
            <w:tcW w:type="dxa" w:w="43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Pare-feu en refus par défaut</w:t>
            </w:r>
          </w:p>
        </w:tc>
        <w:tc>
          <w:tcPr>
            <w:tcW w:type="dxa" w:w="145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8A5A0C"/>
                <w:sz w:val="21"/>
                <w:szCs w:val="21"/>
              </w:rPr>
              <w:t xml:space="preserve">++</w:t>
            </w:r>
          </w:p>
        </w:tc>
        <w:tc>
          <w:tcPr>
            <w:tcW w:type="dxa" w:w="125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2C6B50"/>
                <w:sz w:val="21"/>
                <w:szCs w:val="21"/>
              </w:rPr>
              <w:t xml:space="preserve">+++</w:t>
            </w:r>
          </w:p>
        </w:tc>
        <w:tc>
          <w:tcPr>
            <w:tcW w:type="dxa" w:w="170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2C6B50"/>
                <w:sz w:val="21"/>
                <w:szCs w:val="21"/>
              </w:rPr>
              <w:t xml:space="preserve">+++</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C3</w:t>
            </w:r>
          </w:p>
        </w:tc>
        <w:tc>
          <w:tcPr>
            <w:tcW w:type="dxa" w:w="43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Retrait des outils offensifs (Kali, Caldera)</w:t>
            </w:r>
          </w:p>
        </w:tc>
        <w:tc>
          <w:tcPr>
            <w:tcW w:type="dxa" w:w="145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2C6B50"/>
                <w:sz w:val="21"/>
                <w:szCs w:val="21"/>
              </w:rPr>
              <w:t xml:space="preserve">+++</w:t>
            </w:r>
          </w:p>
        </w:tc>
        <w:tc>
          <w:tcPr>
            <w:tcW w:type="dxa" w:w="125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2C6B50"/>
                <w:sz w:val="21"/>
                <w:szCs w:val="21"/>
              </w:rPr>
              <w:t xml:space="preserve">+++</w:t>
            </w:r>
          </w:p>
        </w:tc>
        <w:tc>
          <w:tcPr>
            <w:tcW w:type="dxa" w:w="170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8A5A0C"/>
                <w:sz w:val="21"/>
                <w:szCs w:val="21"/>
              </w:rPr>
              <w:t xml:space="preserve">++</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C5</w:t>
            </w:r>
          </w:p>
        </w:tc>
        <w:tc>
          <w:tcPr>
            <w:tcW w:type="dxa" w:w="43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SIEM Wazuh + agents + alertes OT</w:t>
            </w:r>
          </w:p>
        </w:tc>
        <w:tc>
          <w:tcPr>
            <w:tcW w:type="dxa" w:w="145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8A5A0C"/>
                <w:sz w:val="21"/>
                <w:szCs w:val="21"/>
              </w:rPr>
              <w:t xml:space="preserve">++</w:t>
            </w:r>
          </w:p>
        </w:tc>
        <w:tc>
          <w:tcPr>
            <w:tcW w:type="dxa" w:w="125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8A5A0C"/>
                <w:sz w:val="21"/>
                <w:szCs w:val="21"/>
              </w:rPr>
              <w:t xml:space="preserve">++</w:t>
            </w:r>
          </w:p>
        </w:tc>
        <w:tc>
          <w:tcPr>
            <w:tcW w:type="dxa" w:w="170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2C6B50"/>
                <w:sz w:val="21"/>
                <w:szCs w:val="21"/>
              </w:rPr>
              <w:t xml:space="preserve">+++</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C17</w:t>
            </w:r>
          </w:p>
        </w:tc>
        <w:tc>
          <w:tcPr>
            <w:tcW w:type="dxa" w:w="43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Formation &amp; sensibilisation (vulns physiques)</w:t>
            </w:r>
          </w:p>
        </w:tc>
        <w:tc>
          <w:tcPr>
            <w:tcW w:type="dxa" w:w="145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2C6B50"/>
                <w:sz w:val="21"/>
                <w:szCs w:val="21"/>
              </w:rPr>
              <w:t xml:space="preserve">+++</w:t>
            </w:r>
          </w:p>
        </w:tc>
        <w:tc>
          <w:tcPr>
            <w:tcW w:type="dxa" w:w="125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8A5A0C"/>
                <w:sz w:val="21"/>
                <w:szCs w:val="21"/>
              </w:rPr>
              <w:t xml:space="preserve">++</w:t>
            </w:r>
          </w:p>
        </w:tc>
        <w:tc>
          <w:tcPr>
            <w:tcW w:type="dxa" w:w="170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8A5A0C"/>
                <w:sz w:val="21"/>
                <w:szCs w:val="21"/>
              </w:rPr>
              <w:t xml:space="preserve">++</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C7-C8</w:t>
            </w:r>
          </w:p>
        </w:tc>
        <w:tc>
          <w:tcPr>
            <w:tcW w:type="dxa" w:w="43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Bastion + MFA, TLS interne</w:t>
            </w:r>
          </w:p>
        </w:tc>
        <w:tc>
          <w:tcPr>
            <w:tcW w:type="dxa" w:w="145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8A5A0C"/>
                <w:sz w:val="21"/>
                <w:szCs w:val="21"/>
              </w:rPr>
              <w:t xml:space="preserve">++</w:t>
            </w:r>
          </w:p>
        </w:tc>
        <w:tc>
          <w:tcPr>
            <w:tcW w:type="dxa" w:w="125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8A5A0C"/>
                <w:sz w:val="21"/>
                <w:szCs w:val="21"/>
              </w:rPr>
              <w:t xml:space="preserve">++</w:t>
            </w:r>
          </w:p>
        </w:tc>
        <w:tc>
          <w:tcPr>
            <w:tcW w:type="dxa" w:w="170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2C6B50"/>
                <w:sz w:val="21"/>
                <w:szCs w:val="21"/>
              </w:rPr>
              <w:t xml:space="preserve">+++</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C13</w:t>
            </w:r>
          </w:p>
        </w:tc>
        <w:tc>
          <w:tcPr>
            <w:tcW w:type="dxa" w:w="43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Re-segmentation physique (DAI, 802.1X)</w:t>
            </w:r>
          </w:p>
        </w:tc>
        <w:tc>
          <w:tcPr>
            <w:tcW w:type="dxa" w:w="145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9E2A2A"/>
                <w:sz w:val="21"/>
                <w:szCs w:val="21"/>
              </w:rPr>
              <w:t xml:space="preserve">+</w:t>
            </w:r>
          </w:p>
        </w:tc>
        <w:tc>
          <w:tcPr>
            <w:tcW w:type="dxa" w:w="125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9E2A2A"/>
                <w:sz w:val="21"/>
                <w:szCs w:val="21"/>
              </w:rPr>
              <w:t xml:space="preserve">+</w:t>
            </w:r>
          </w:p>
        </w:tc>
        <w:tc>
          <w:tcPr>
            <w:tcW w:type="dxa" w:w="170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2C6B50"/>
                <w:sz w:val="21"/>
                <w:szCs w:val="21"/>
              </w:rPr>
              <w:t xml:space="preserve">+++</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C14</w:t>
            </w:r>
          </w:p>
        </w:tc>
        <w:tc>
          <w:tcPr>
            <w:tcW w:type="dxa" w:w="43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Pare-feu industriel à inspection Modbus</w:t>
            </w:r>
          </w:p>
        </w:tc>
        <w:tc>
          <w:tcPr>
            <w:tcW w:type="dxa" w:w="145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9E2A2A"/>
                <w:sz w:val="21"/>
                <w:szCs w:val="21"/>
              </w:rPr>
              <w:t xml:space="preserve">+</w:t>
            </w:r>
          </w:p>
        </w:tc>
        <w:tc>
          <w:tcPr>
            <w:tcW w:type="dxa" w:w="125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9E2A2A"/>
                <w:sz w:val="21"/>
                <w:szCs w:val="21"/>
              </w:rPr>
              <w:t xml:space="preserve">+</w:t>
            </w:r>
          </w:p>
        </w:tc>
        <w:tc>
          <w:tcPr>
            <w:tcW w:type="dxa" w:w="170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2C6B50"/>
                <w:sz w:val="21"/>
                <w:szCs w:val="21"/>
              </w:rPr>
              <w:t xml:space="preserve">+++</w:t>
            </w:r>
          </w:p>
        </w:tc>
      </w:tr>
      <w:tr>
        <w:tc>
          <w:tcPr>
            <w:tcW w:type="dxa" w:w="900"/>
            <w:shd w:fill="F2F5F7"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21"/>
                <w:szCs w:val="21"/>
              </w:rPr>
              <w:t xml:space="preserve">C15</w:t>
            </w:r>
          </w:p>
        </w:tc>
        <w:tc>
          <w:tcPr>
            <w:tcW w:type="dxa" w:w="43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Barrière de sécurité SIL 2 indépendante</w:t>
            </w:r>
          </w:p>
        </w:tc>
        <w:tc>
          <w:tcPr>
            <w:tcW w:type="dxa" w:w="145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9E2A2A"/>
                <w:sz w:val="21"/>
                <w:szCs w:val="21"/>
              </w:rPr>
              <w:t xml:space="preserve">+</w:t>
            </w:r>
          </w:p>
        </w:tc>
        <w:tc>
          <w:tcPr>
            <w:tcW w:type="dxa" w:w="125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9E2A2A"/>
                <w:sz w:val="21"/>
                <w:szCs w:val="21"/>
              </w:rPr>
              <w:t xml:space="preserve">+</w:t>
            </w:r>
          </w:p>
        </w:tc>
        <w:tc>
          <w:tcPr>
            <w:tcW w:type="dxa" w:w="1700"/>
            <w:tcMar>
              <w:top w:type="dxa" w:w="60"/>
              <w:left w:type="dxa" w:w="90"/>
              <w:bottom w:type="dxa" w:w="60"/>
              <w:right w:type="dxa" w:w="90"/>
            </w:tcMar>
            <w:vAlign w:val="center"/>
          </w:tcPr>
          <w:p>
            <w:pPr>
              <w:spacing w:after="0" w:before="0" w:line="276"/>
              <w:jc w:val="center"/>
            </w:pPr>
            <w:r>
              <w:rPr>
                <w:rFonts w:ascii="Calibri" w:cs="Calibri" w:eastAsia="Calibri" w:hAnsi="Calibri"/>
                <w:b/>
                <w:bCs/>
                <w:i w:val="false"/>
                <w:iCs w:val="false"/>
                <w:caps w:val="false"/>
                <w:color w:val="2C6B50"/>
                <w:sz w:val="21"/>
                <w:szCs w:val="21"/>
              </w:rPr>
              <w:t xml:space="preserve">+++</w:t>
            </w:r>
          </w:p>
        </w:tc>
      </w:tr>
    </w:tbl>
    <w:p>
      <w:pPr>
        <w:spacing w:after="100" w:before="0" w:line="276"/>
      </w:pPr>
      <w:r>
        <w:rPr>
          <w:rFonts w:ascii="Calibri" w:cs="Calibri" w:eastAsia="Calibri" w:hAnsi="Calibri"/>
          <w:b w:val="false"/>
          <w:bCs w:val="false"/>
          <w:i w:val="false"/>
          <w:iCs w:val="false"/>
          <w:caps w:val="false"/>
          <w:color w:val="1B2733"/>
          <w:sz w:val="21"/>
          <w:szCs w:val="21"/>
        </w:rPr>
        <w:t xml:space="preserve"/>
      </w:r>
    </w:p>
    <w:p>
      <w:pPr>
        <w:spacing w:after="120" w:before="0" w:line="276"/>
      </w:pPr>
      <w:r>
        <w:rPr>
          <w:rFonts w:ascii="Calibri" w:cs="Calibri" w:eastAsia="Calibri" w:hAnsi="Calibri"/>
          <w:b w:val="false"/>
          <w:bCs w:val="false"/>
          <w:i w:val="false"/>
          <w:iCs w:val="false"/>
          <w:caps w:val="false"/>
          <w:color w:val="1B2733"/>
          <w:sz w:val="21"/>
          <w:szCs w:val="21"/>
        </w:rPr>
        <w:t xml:space="preserve">Les quatre premières lignes sont des « quick wins » : faciles, peu coûteuses, très efficaces — à faire immédiatement (lot 0). Le coût élevé de C15 est assumé : c'est la seule mesure qui protège le procédé </w:t>
      </w:r>
      <w:r>
        <w:rPr>
          <w:rFonts w:ascii="Calibri" w:cs="Calibri" w:eastAsia="Calibri" w:hAnsi="Calibri"/>
          <w:b w:val="false"/>
          <w:bCs w:val="false"/>
          <w:i/>
          <w:iCs/>
          <w:caps w:val="false"/>
          <w:color w:val="1B2733"/>
          <w:sz w:val="21"/>
          <w:szCs w:val="21"/>
        </w:rPr>
        <w:t xml:space="preserve">même si tout le numérique est compromis</w:t>
      </w:r>
      <w:r>
        <w:rPr>
          <w:rFonts w:ascii="Calibri" w:cs="Calibri" w:eastAsia="Calibri" w:hAnsi="Calibri"/>
          <w:b w:val="false"/>
          <w:bCs w:val="false"/>
          <w:i w:val="false"/>
          <w:iCs w:val="false"/>
          <w:caps w:val="false"/>
          <w:color w:val="1B2733"/>
          <w:sz w:val="21"/>
          <w:szCs w:val="21"/>
        </w:rPr>
        <w:t xml:space="preserve">.</w:t>
      </w:r>
    </w:p>
    <w:p>
      <w:pPr>
        <w:pStyle w:val="Heading2"/>
        <w:keepNext/>
        <w:spacing w:after="100" w:before="220"/>
      </w:pPr>
      <w:r>
        <w:rPr>
          <w:rFonts w:ascii="Calibri" w:cs="Calibri" w:eastAsia="Calibri" w:hAnsi="Calibri"/>
          <w:b/>
          <w:bCs/>
          <w:color w:val="33475B"/>
          <w:sz w:val="24"/>
          <w:szCs w:val="24"/>
        </w:rPr>
        <w:t xml:space="preserve">Lecture économique</w:t>
      </w:r>
    </w:p>
    <w:tbl>
      <w:tblPr>
        <w:tblW w:type="dxa" w:w="9600"/>
        <w:tblBorders>
          <w:top w:val="single" w:color="C7D0D8" w:sz="2"/>
          <w:left w:val="single" w:color="C7D0D8" w:sz="2"/>
          <w:bottom w:val="single" w:color="C7D0D8" w:sz="2"/>
          <w:right w:val="single" w:color="C7D0D8" w:sz="2"/>
          <w:insideH w:val="single" w:color="C7D0D8" w:sz="2"/>
          <w:insideV w:val="single" w:color="C7D0D8" w:sz="2"/>
        </w:tblBorders>
      </w:tblPr>
      <w:tblGrid>
        <w:gridCol w:w="4800"/>
        <w:gridCol w:w="4800"/>
      </w:tblGrid>
      <w:tr>
        <w:tc>
          <w:tcPr>
            <w:tcW w:type="dxa" w:w="4800"/>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B2733"/>
                <w:sz w:val="30"/>
                <w:szCs w:val="30"/>
              </w:rPr>
              <w:t xml:space="preserve">222 570 €</w:t>
            </w:r>
          </w:p>
          <w:p>
            <w:pPr>
              <w:spacing w:after="0" w:before="0" w:line="276"/>
            </w:pPr>
            <w:r>
              <w:rPr>
                <w:rFonts w:ascii="Calibri" w:cs="Calibri" w:eastAsia="Calibri" w:hAnsi="Calibri"/>
                <w:b w:val="false"/>
                <w:bCs w:val="false"/>
                <w:i w:val="false"/>
                <w:iCs w:val="false"/>
                <w:caps w:val="false"/>
                <w:color w:val="5A6B78"/>
                <w:sz w:val="17"/>
                <w:szCs w:val="17"/>
              </w:rPr>
              <w:t xml:space="preserve">Programme complet (arrêts inclus)</w:t>
            </w:r>
          </w:p>
        </w:tc>
        <w:tc>
          <w:tcPr>
            <w:tcW w:type="dxa" w:w="4800"/>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2C6B50"/>
                <w:sz w:val="30"/>
                <w:szCs w:val="30"/>
              </w:rPr>
              <w:t xml:space="preserve">134 820 €</w:t>
            </w:r>
          </w:p>
          <w:p>
            <w:pPr>
              <w:spacing w:after="0" w:before="0" w:line="276"/>
            </w:pPr>
            <w:r>
              <w:rPr>
                <w:rFonts w:ascii="Calibri" w:cs="Calibri" w:eastAsia="Calibri" w:hAnsi="Calibri"/>
                <w:b w:val="false"/>
                <w:bCs w:val="false"/>
                <w:i w:val="false"/>
                <w:iCs w:val="false"/>
                <w:caps w:val="false"/>
                <w:color w:val="5A6B78"/>
                <w:sz w:val="17"/>
                <w:szCs w:val="17"/>
              </w:rPr>
              <w:t xml:space="preserve">Si adossé aux arrêts planifiés</w:t>
            </w:r>
          </w:p>
        </w:tc>
      </w:tr>
      <w:tr>
        <w:tc>
          <w:tcPr>
            <w:tcW w:type="dxa" w:w="4800"/>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14507B"/>
                <w:sz w:val="30"/>
                <w:szCs w:val="30"/>
              </w:rPr>
              <w:t xml:space="preserve">17 850 €</w:t>
            </w:r>
          </w:p>
          <w:p>
            <w:pPr>
              <w:spacing w:after="0" w:before="0" w:line="276"/>
            </w:pPr>
            <w:r>
              <w:rPr>
                <w:rFonts w:ascii="Calibri" w:cs="Calibri" w:eastAsia="Calibri" w:hAnsi="Calibri"/>
                <w:b w:val="false"/>
                <w:bCs w:val="false"/>
                <w:i w:val="false"/>
                <w:iCs w:val="false"/>
                <w:caps w:val="false"/>
                <w:color w:val="5A6B78"/>
                <w:sz w:val="17"/>
                <w:szCs w:val="17"/>
              </w:rPr>
              <w:t xml:space="preserve">Lot 0 — chaîne d'attaque coupée</w:t>
            </w:r>
          </w:p>
        </w:tc>
        <w:tc>
          <w:tcPr>
            <w:tcW w:type="dxa" w:w="4800"/>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val="false"/>
                <w:color w:val="9E2A2A"/>
                <w:sz w:val="30"/>
                <w:szCs w:val="30"/>
              </w:rPr>
              <w:t xml:space="preserve">468 000 €</w:t>
            </w:r>
          </w:p>
          <w:p>
            <w:pPr>
              <w:spacing w:after="0" w:before="0" w:line="276"/>
            </w:pPr>
            <w:r>
              <w:rPr>
                <w:rFonts w:ascii="Calibri" w:cs="Calibri" w:eastAsia="Calibri" w:hAnsi="Calibri"/>
                <w:b w:val="false"/>
                <w:bCs w:val="false"/>
                <w:i w:val="false"/>
                <w:iCs w:val="false"/>
                <w:caps w:val="false"/>
                <w:color w:val="5A6B78"/>
                <w:sz w:val="17"/>
                <w:szCs w:val="17"/>
              </w:rPr>
              <w:t xml:space="preserve">Un incident type TP (72 h d'arrêt)</w:t>
            </w:r>
          </w:p>
        </w:tc>
      </w:tr>
    </w:tbl>
    <w:p>
      <w:pPr>
        <w:spacing w:after="100" w:before="0" w:line="276"/>
      </w:pPr>
      <w:r>
        <w:rPr>
          <w:rFonts w:ascii="Calibri" w:cs="Calibri" w:eastAsia="Calibri" w:hAnsi="Calibri"/>
          <w:b w:val="false"/>
          <w:bCs w:val="false"/>
          <w:i w:val="false"/>
          <w:iCs w:val="false"/>
          <w:caps w:val="false"/>
          <w:color w:val="1B2733"/>
          <w:sz w:val="21"/>
          <w:szCs w:val="21"/>
        </w:rPr>
        <w:t xml:space="preserve"/>
      </w:r>
    </w:p>
    <w:p>
      <w:pPr>
        <w:spacing w:after="120" w:before="0" w:line="276"/>
      </w:pPr>
      <w:r>
        <w:rPr>
          <w:rFonts w:ascii="Calibri" w:cs="Calibri" w:eastAsia="Calibri" w:hAnsi="Calibri"/>
          <w:b w:val="false"/>
          <w:bCs w:val="false"/>
          <w:i w:val="false"/>
          <w:iCs w:val="false"/>
          <w:caps w:val="false"/>
          <w:color w:val="1B2733"/>
          <w:sz w:val="21"/>
          <w:szCs w:val="21"/>
        </w:rPr>
        <w:t xml:space="preserve">Sur les 222 570 €, </w:t>
      </w:r>
      <w:r>
        <w:rPr>
          <w:rFonts w:ascii="Calibri" w:cs="Calibri" w:eastAsia="Calibri" w:hAnsi="Calibri"/>
          <w:b/>
          <w:bCs/>
          <w:i w:val="false"/>
          <w:iCs w:val="false"/>
          <w:caps w:val="false"/>
          <w:color w:val="1B2733"/>
          <w:sz w:val="21"/>
          <w:szCs w:val="21"/>
        </w:rPr>
        <w:t xml:space="preserve">87 750 € ne sont pas de la sécurité mais de l'indisponibilité</w:t>
      </w:r>
      <w:r>
        <w:rPr>
          <w:rFonts w:ascii="Calibri" w:cs="Calibri" w:eastAsia="Calibri" w:hAnsi="Calibri"/>
          <w:b w:val="false"/>
          <w:bCs w:val="false"/>
          <w:i w:val="false"/>
          <w:iCs w:val="false"/>
          <w:caps w:val="false"/>
          <w:color w:val="1B2733"/>
          <w:sz w:val="21"/>
          <w:szCs w:val="21"/>
        </w:rPr>
        <w:t xml:space="preserve"> (13,5 h × 6 500 €). En adossant les travaux aux arrêts de maintenance planifiés, le coût réel tombe à </w:t>
      </w:r>
      <w:r>
        <w:rPr>
          <w:rFonts w:ascii="Calibri" w:cs="Calibri" w:eastAsia="Calibri" w:hAnsi="Calibri"/>
          <w:b/>
          <w:bCs/>
          <w:i w:val="false"/>
          <w:iCs w:val="false"/>
          <w:caps w:val="false"/>
          <w:color w:val="1B2733"/>
          <w:sz w:val="21"/>
          <w:szCs w:val="21"/>
        </w:rPr>
        <w:t xml:space="preserve">134 820 €</w:t>
      </w:r>
      <w:r>
        <w:rPr>
          <w:rFonts w:ascii="Calibri" w:cs="Calibri" w:eastAsia="Calibri" w:hAnsi="Calibri"/>
          <w:b w:val="false"/>
          <w:bCs w:val="false"/>
          <w:i w:val="false"/>
          <w:iCs w:val="false"/>
          <w:caps w:val="false"/>
          <w:color w:val="1B2733"/>
          <w:sz w:val="21"/>
          <w:szCs w:val="21"/>
        </w:rPr>
        <w:t xml:space="preserve">. Le lot 0 se rembourse en moins de trois heures d'arrêt évité ; le programme complet, en moins d'un incident évité.</w:t>
      </w:r>
    </w:p>
    <w:p>
      <w:r>
        <w:br w:type="page"/>
      </w:r>
    </w:p>
    <w:p>
      <w:pPr>
        <w:pStyle w:val="Heading1"/>
        <w:keepNext/>
        <w:spacing w:after="140" w:before="320"/>
      </w:pPr>
      <w:r>
        <w:rPr>
          <w:rFonts w:ascii="Cambria" w:cs="Cambria" w:eastAsia="Cambria" w:hAnsi="Cambria"/>
          <w:b/>
          <w:bCs/>
          <w:color w:val="14507B"/>
          <w:sz w:val="30"/>
          <w:szCs w:val="30"/>
        </w:rPr>
        <w:t xml:space="preserve">§6   </w:t>
      </w:r>
      <w:r>
        <w:rPr>
          <w:rFonts w:ascii="Cambria" w:cs="Cambria" w:eastAsia="Cambria" w:hAnsi="Cambria"/>
          <w:b/>
          <w:bCs/>
          <w:color w:val="1B2733"/>
          <w:sz w:val="30"/>
          <w:szCs w:val="30"/>
        </w:rPr>
        <w:t xml:space="preserve">Stratégie de mise en exécution</w:t>
      </w:r>
    </w:p>
    <w:p>
      <w:pPr>
        <w:spacing w:after="120" w:before="0" w:line="276"/>
      </w:pPr>
      <w:r>
        <w:rPr>
          <w:rFonts w:ascii="Calibri" w:cs="Calibri" w:eastAsia="Calibri" w:hAnsi="Calibri"/>
          <w:b w:val="false"/>
          <w:bCs w:val="false"/>
          <w:i w:val="false"/>
          <w:iCs w:val="false"/>
          <w:caps w:val="false"/>
          <w:color w:val="1B2733"/>
          <w:sz w:val="21"/>
          <w:szCs w:val="21"/>
        </w:rPr>
        <w:t xml:space="preserve">Une usine ne se sécurise pas en arrêtant la production. La stratégie repose sur trois principes : valider hors ligne, grouper les arrêts, et ne jamais déployer sans point de retour.</w:t>
      </w:r>
    </w:p>
    <w:p>
      <w:pPr>
        <w:pStyle w:val="Heading2"/>
        <w:keepNext/>
        <w:spacing w:after="100" w:before="220"/>
      </w:pPr>
      <w:r>
        <w:rPr>
          <w:rFonts w:ascii="Calibri" w:cs="Calibri" w:eastAsia="Calibri" w:hAnsi="Calibri"/>
          <w:b/>
          <w:bCs/>
          <w:color w:val="33475B"/>
          <w:sz w:val="24"/>
          <w:szCs w:val="24"/>
        </w:rPr>
        <w:t xml:space="preserve">Séquencement</w:t>
      </w:r>
    </w:p>
    <w:p>
      <w:pPr>
        <w:spacing w:after="40" w:before="0" w:line="276"/>
      </w:pPr>
      <w:r>
        <w:rPr>
          <w:rFonts w:ascii="Calibri" w:cs="Calibri" w:eastAsia="Calibri" w:hAnsi="Calibri"/>
          <w:b/>
          <w:bCs/>
          <w:i w:val="false"/>
          <w:iCs w:val="false"/>
          <w:caps w:val="false"/>
          <w:color w:val="14507B"/>
          <w:sz w:val="21"/>
          <w:szCs w:val="21"/>
        </w:rPr>
        <w:t xml:space="preserve">Semaines 1 à 2 — Lot 0  —  </w:t>
      </w:r>
      <w:r>
        <w:rPr>
          <w:rFonts w:ascii="Calibri" w:cs="Calibri" w:eastAsia="Calibri" w:hAnsi="Calibri"/>
          <w:b/>
          <w:bCs/>
          <w:i w:val="false"/>
          <w:iCs w:val="false"/>
          <w:caps w:val="false"/>
          <w:color w:val="1B2733"/>
          <w:sz w:val="21"/>
          <w:szCs w:val="21"/>
        </w:rPr>
        <w:t xml:space="preserve">Reprise de contrôle</w:t>
      </w:r>
    </w:p>
    <w:p>
      <w:pPr>
        <w:spacing w:after="120" w:before="0" w:line="276"/>
      </w:pPr>
      <w:r>
        <w:rPr>
          <w:rFonts w:ascii="Calibri" w:cs="Calibri" w:eastAsia="Calibri" w:hAnsi="Calibri"/>
          <w:b w:val="false"/>
          <w:bCs w:val="false"/>
          <w:i w:val="false"/>
          <w:iCs w:val="false"/>
          <w:caps w:val="false"/>
          <w:color w:val="1B2733"/>
          <w:sz w:val="21"/>
          <w:szCs w:val="21"/>
        </w:rPr>
        <w:t xml:space="preserve">Travaux en marche, sauf une fenêtre de 30 min pour la bascule du pare-feu : rédaction des règles, essai sur jumeau numérique, déploiement en « journalisation seule » 72 h, puis blocage effectif avec retour arrière prêt. Rotation des identifiants en parallèle.</w:t>
      </w:r>
    </w:p>
    <w:p>
      <w:pPr>
        <w:spacing w:after="40" w:before="0" w:line="276"/>
      </w:pPr>
      <w:r>
        <w:rPr>
          <w:rFonts w:ascii="Calibri" w:cs="Calibri" w:eastAsia="Calibri" w:hAnsi="Calibri"/>
          <w:b/>
          <w:bCs/>
          <w:i w:val="false"/>
          <w:iCs w:val="false"/>
          <w:caps w:val="false"/>
          <w:color w:val="14507B"/>
          <w:sz w:val="21"/>
          <w:szCs w:val="21"/>
        </w:rPr>
        <w:t xml:space="preserve">Mois 1 à 3 — Lot 1  —  </w:t>
      </w:r>
      <w:r>
        <w:rPr>
          <w:rFonts w:ascii="Calibri" w:cs="Calibri" w:eastAsia="Calibri" w:hAnsi="Calibri"/>
          <w:b/>
          <w:bCs/>
          <w:i w:val="false"/>
          <w:iCs w:val="false"/>
          <w:caps w:val="false"/>
          <w:color w:val="1B2733"/>
          <w:sz w:val="21"/>
          <w:szCs w:val="21"/>
        </w:rPr>
        <w:t xml:space="preserve">Consolidation des accès</w:t>
      </w:r>
    </w:p>
    <w:p>
      <w:pPr>
        <w:spacing w:after="120" w:before="0" w:line="276"/>
      </w:pPr>
      <w:r>
        <w:rPr>
          <w:rFonts w:ascii="Calibri" w:cs="Calibri" w:eastAsia="Calibri" w:hAnsi="Calibri"/>
          <w:b w:val="false"/>
          <w:bCs w:val="false"/>
          <w:i w:val="false"/>
          <w:iCs w:val="false"/>
          <w:caps w:val="false"/>
          <w:color w:val="1B2733"/>
          <w:sz w:val="21"/>
          <w:szCs w:val="21"/>
        </w:rPr>
        <w:t xml:space="preserve">Bastion et chiffrement sans impact procédé. Les 2 h d'arrêt regroupées sur une seule fenêtre technique existante. Chaque changement passe par une demande formalisée et un essai préalable.</w:t>
      </w:r>
    </w:p>
    <w:p>
      <w:pPr>
        <w:spacing w:after="40" w:before="0" w:line="276"/>
      </w:pPr>
      <w:r>
        <w:rPr>
          <w:rFonts w:ascii="Calibri" w:cs="Calibri" w:eastAsia="Calibri" w:hAnsi="Calibri"/>
          <w:b/>
          <w:bCs/>
          <w:i w:val="false"/>
          <w:iCs w:val="false"/>
          <w:caps w:val="false"/>
          <w:color w:val="14507B"/>
          <w:sz w:val="21"/>
          <w:szCs w:val="21"/>
        </w:rPr>
        <w:t xml:space="preserve">Mois 3 à 12 — Lot 2  —  </w:t>
      </w:r>
      <w:r>
        <w:rPr>
          <w:rFonts w:ascii="Calibri" w:cs="Calibri" w:eastAsia="Calibri" w:hAnsi="Calibri"/>
          <w:b/>
          <w:bCs/>
          <w:i w:val="false"/>
          <w:iCs w:val="false"/>
          <w:caps w:val="false"/>
          <w:color w:val="1B2733"/>
          <w:sz w:val="21"/>
          <w:szCs w:val="21"/>
        </w:rPr>
        <w:t xml:space="preserve">Refonte structurelle</w:t>
      </w:r>
    </w:p>
    <w:p>
      <w:pPr>
        <w:spacing w:after="120" w:before="0" w:line="276"/>
      </w:pPr>
      <w:r>
        <w:rPr>
          <w:rFonts w:ascii="Calibri" w:cs="Calibri" w:eastAsia="Calibri" w:hAnsi="Calibri"/>
          <w:b w:val="false"/>
          <w:bCs w:val="false"/>
          <w:i w:val="false"/>
          <w:iCs w:val="false"/>
          <w:caps w:val="false"/>
          <w:color w:val="1B2733"/>
          <w:sz w:val="21"/>
          <w:szCs w:val="21"/>
        </w:rPr>
        <w:t xml:space="preserve">Recâblage, pare-feu industriel et barrière SIL 2 (11 h d'arrêt) adossés à l'arrêt annuel de maintenance, neutralisant 71 500 € d'indisponibilité. Mise en service SIL selon le cycle IEC 61511.</w:t>
      </w:r>
    </w:p>
    <w:p>
      <w:pPr>
        <w:spacing w:after="40" w:before="0" w:line="276"/>
      </w:pPr>
      <w:r>
        <w:rPr>
          <w:rFonts w:ascii="Calibri" w:cs="Calibri" w:eastAsia="Calibri" w:hAnsi="Calibri"/>
          <w:b/>
          <w:bCs/>
          <w:i w:val="false"/>
          <w:iCs w:val="false"/>
          <w:caps w:val="false"/>
          <w:color w:val="14507B"/>
          <w:sz w:val="21"/>
          <w:szCs w:val="21"/>
        </w:rPr>
        <w:t xml:space="preserve">En continu  —  </w:t>
      </w:r>
      <w:r>
        <w:rPr>
          <w:rFonts w:ascii="Calibri" w:cs="Calibri" w:eastAsia="Calibri" w:hAnsi="Calibri"/>
          <w:b/>
          <w:bCs/>
          <w:i w:val="false"/>
          <w:iCs w:val="false"/>
          <w:caps w:val="false"/>
          <w:color w:val="1B2733"/>
          <w:sz w:val="21"/>
          <w:szCs w:val="21"/>
        </w:rPr>
        <w:t xml:space="preserve">Maintien en condition de sécurité</w:t>
      </w:r>
    </w:p>
    <w:p>
      <w:pPr>
        <w:spacing w:after="120" w:before="0" w:line="276"/>
      </w:pPr>
      <w:r>
        <w:rPr>
          <w:rFonts w:ascii="Calibri" w:cs="Calibri" w:eastAsia="Calibri" w:hAnsi="Calibri"/>
          <w:b w:val="false"/>
          <w:bCs w:val="false"/>
          <w:i w:val="false"/>
          <w:iCs w:val="false"/>
          <w:caps w:val="false"/>
          <w:color w:val="1B2733"/>
          <w:sz w:val="21"/>
          <w:szCs w:val="21"/>
        </w:rPr>
        <w:t xml:space="preserve">Comité mensuel, revue trimestrielle des règles, correctifs sur fenêtre planifiée après qualification, exercice de crise annuel, audit de conformité final.</w:t>
      </w:r>
    </w:p>
    <w:p>
      <w:pPr>
        <w:pStyle w:val="Heading2"/>
        <w:keepNext/>
        <w:spacing w:after="100" w:before="220"/>
      </w:pPr>
      <w:r>
        <w:rPr>
          <w:rFonts w:ascii="Calibri" w:cs="Calibri" w:eastAsia="Calibri" w:hAnsi="Calibri"/>
          <w:b/>
          <w:bCs/>
          <w:color w:val="33475B"/>
          <w:sz w:val="24"/>
          <w:szCs w:val="24"/>
        </w:rPr>
        <w:t xml:space="preserve">Indicateurs de pilotage</w:t>
      </w:r>
    </w:p>
    <w:p>
      <w:pPr>
        <w:pStyle w:val="ListParagraph"/>
        <w:numPr>
          <w:ilvl w:val="0"/>
          <w:numId w:val="2"/>
        </w:numPr>
        <w:spacing w:after="60" w:line="270"/>
      </w:pPr>
      <w:r>
        <w:rPr>
          <w:rFonts w:ascii="Calibri" w:cs="Calibri" w:eastAsia="Calibri" w:hAnsi="Calibri"/>
          <w:b/>
          <w:bCs/>
          <w:i w:val="false"/>
          <w:iCs w:val="false"/>
          <w:caps w:val="false"/>
          <w:color w:val="1B2733"/>
          <w:sz w:val="21"/>
          <w:szCs w:val="21"/>
        </w:rPr>
        <w:t xml:space="preserve">Couverture du filtrage</w:t>
      </w:r>
      <w:r>
        <w:rPr>
          <w:rFonts w:ascii="Calibri" w:cs="Calibri" w:eastAsia="Calibri" w:hAnsi="Calibri"/>
          <w:b w:val="false"/>
          <w:bCs w:val="false"/>
          <w:i w:val="false"/>
          <w:iCs w:val="false"/>
          <w:caps w:val="false"/>
          <w:color w:val="1B2733"/>
          <w:sz w:val="21"/>
          <w:szCs w:val="21"/>
        </w:rPr>
        <w:t xml:space="preserve"> — 100 % des flux via une règle explicite (mesure hebdomadaire).</w:t>
      </w:r>
    </w:p>
    <w:p>
      <w:pPr>
        <w:pStyle w:val="ListParagraph"/>
        <w:numPr>
          <w:ilvl w:val="0"/>
          <w:numId w:val="2"/>
        </w:numPr>
        <w:spacing w:after="60" w:line="270"/>
      </w:pPr>
      <w:r>
        <w:rPr>
          <w:rFonts w:ascii="Calibri" w:cs="Calibri" w:eastAsia="Calibri" w:hAnsi="Calibri"/>
          <w:b/>
          <w:bCs/>
          <w:i w:val="false"/>
          <w:iCs w:val="false"/>
          <w:caps w:val="false"/>
          <w:color w:val="1B2733"/>
          <w:sz w:val="21"/>
          <w:szCs w:val="21"/>
        </w:rPr>
        <w:t xml:space="preserve">Comptes par défaut restants</w:t>
      </w:r>
      <w:r>
        <w:rPr>
          <w:rFonts w:ascii="Calibri" w:cs="Calibri" w:eastAsia="Calibri" w:hAnsi="Calibri"/>
          <w:b w:val="false"/>
          <w:bCs w:val="false"/>
          <w:i w:val="false"/>
          <w:iCs w:val="false"/>
          <w:caps w:val="false"/>
          <w:color w:val="1B2733"/>
          <w:sz w:val="21"/>
          <w:szCs w:val="21"/>
        </w:rPr>
        <w:t xml:space="preserve"> — cible zéro dès la semaine 2, balayage automatisé.</w:t>
      </w:r>
    </w:p>
    <w:p>
      <w:pPr>
        <w:pStyle w:val="ListParagraph"/>
        <w:numPr>
          <w:ilvl w:val="0"/>
          <w:numId w:val="2"/>
        </w:numPr>
        <w:spacing w:after="60" w:line="270"/>
      </w:pPr>
      <w:r>
        <w:rPr>
          <w:rFonts w:ascii="Calibri" w:cs="Calibri" w:eastAsia="Calibri" w:hAnsi="Calibri"/>
          <w:b/>
          <w:bCs/>
          <w:i w:val="false"/>
          <w:iCs w:val="false"/>
          <w:caps w:val="false"/>
          <w:color w:val="1B2733"/>
          <w:sz w:val="21"/>
          <w:szCs w:val="21"/>
        </w:rPr>
        <w:t xml:space="preserve">Délai de détection</w:t>
      </w:r>
      <w:r>
        <w:rPr>
          <w:rFonts w:ascii="Calibri" w:cs="Calibri" w:eastAsia="Calibri" w:hAnsi="Calibri"/>
          <w:b w:val="false"/>
          <w:bCs w:val="false"/>
          <w:i w:val="false"/>
          <w:iCs w:val="false"/>
          <w:caps w:val="false"/>
          <w:color w:val="1B2733"/>
          <w:sz w:val="21"/>
          <w:szCs w:val="21"/>
        </w:rPr>
        <w:t xml:space="preserve"> — écriture Modbus illégitime → alerte SIEM en moins de 5 minutes.</w:t>
      </w:r>
    </w:p>
    <w:p>
      <w:pPr>
        <w:pStyle w:val="ListParagraph"/>
        <w:numPr>
          <w:ilvl w:val="0"/>
          <w:numId w:val="2"/>
        </w:numPr>
        <w:spacing w:after="60" w:line="270"/>
      </w:pPr>
      <w:r>
        <w:rPr>
          <w:rFonts w:ascii="Calibri" w:cs="Calibri" w:eastAsia="Calibri" w:hAnsi="Calibri"/>
          <w:b/>
          <w:bCs/>
          <w:i w:val="false"/>
          <w:iCs w:val="false"/>
          <w:caps w:val="false"/>
          <w:color w:val="1B2733"/>
          <w:sz w:val="21"/>
          <w:szCs w:val="21"/>
        </w:rPr>
        <w:t xml:space="preserve">Actifs journalisés</w:t>
      </w:r>
      <w:r>
        <w:rPr>
          <w:rFonts w:ascii="Calibri" w:cs="Calibri" w:eastAsia="Calibri" w:hAnsi="Calibri"/>
          <w:b w:val="false"/>
          <w:bCs w:val="false"/>
          <w:i w:val="false"/>
          <w:iCs w:val="false"/>
          <w:caps w:val="false"/>
          <w:color w:val="1B2733"/>
          <w:sz w:val="21"/>
          <w:szCs w:val="21"/>
        </w:rPr>
        <w:t xml:space="preserve"> — 100 % des équipements remontant au SIEM.</w:t>
      </w:r>
    </w:p>
    <w:p>
      <w:pPr>
        <w:pStyle w:val="ListParagraph"/>
        <w:numPr>
          <w:ilvl w:val="0"/>
          <w:numId w:val="2"/>
        </w:numPr>
        <w:spacing w:after="60" w:line="270"/>
      </w:pPr>
      <w:r>
        <w:rPr>
          <w:rFonts w:ascii="Calibri" w:cs="Calibri" w:eastAsia="Calibri" w:hAnsi="Calibri"/>
          <w:b/>
          <w:bCs/>
          <w:i w:val="false"/>
          <w:iCs w:val="false"/>
          <w:caps w:val="false"/>
          <w:color w:val="1B2733"/>
          <w:sz w:val="21"/>
          <w:szCs w:val="21"/>
        </w:rPr>
        <w:t xml:space="preserve">Restauration testée</w:t>
      </w:r>
      <w:r>
        <w:rPr>
          <w:rFonts w:ascii="Calibri" w:cs="Calibri" w:eastAsia="Calibri" w:hAnsi="Calibri"/>
          <w:b w:val="false"/>
          <w:bCs w:val="false"/>
          <w:i w:val="false"/>
          <w:iCs w:val="false"/>
          <w:caps w:val="false"/>
          <w:color w:val="1B2733"/>
          <w:sz w:val="21"/>
          <w:szCs w:val="21"/>
        </w:rPr>
        <w:t xml:space="preserve"> — remise en service de l'automate en moins de 2 h, testée 2×/an.</w:t>
      </w:r>
    </w:p>
    <w:p>
      <w:pPr>
        <w:pStyle w:val="Heading1"/>
        <w:keepNext/>
        <w:spacing w:after="140" w:before="320"/>
      </w:pPr>
      <w:r>
        <w:rPr>
          <w:rFonts w:ascii="Cambria" w:cs="Cambria" w:eastAsia="Cambria" w:hAnsi="Cambria"/>
          <w:b/>
          <w:bCs/>
          <w:color w:val="14507B"/>
          <w:sz w:val="30"/>
          <w:szCs w:val="30"/>
        </w:rPr>
        <w:t xml:space="preserve">§7   </w:t>
      </w:r>
      <w:r>
        <w:rPr>
          <w:rFonts w:ascii="Cambria" w:cs="Cambria" w:eastAsia="Cambria" w:hAnsi="Cambria"/>
          <w:b/>
          <w:bCs/>
          <w:color w:val="1B2733"/>
          <w:sz w:val="30"/>
          <w:szCs w:val="30"/>
        </w:rPr>
        <w:t xml:space="preserve">Plan de contingence</w:t>
      </w:r>
    </w:p>
    <w:p>
      <w:pPr>
        <w:spacing w:after="120" w:before="0" w:line="276"/>
      </w:pPr>
      <w:r>
        <w:rPr>
          <w:rFonts w:ascii="Calibri" w:cs="Calibri" w:eastAsia="Calibri" w:hAnsi="Calibri"/>
          <w:b w:val="false"/>
          <w:bCs w:val="false"/>
          <w:i w:val="false"/>
          <w:iCs w:val="false"/>
          <w:caps w:val="false"/>
          <w:color w:val="1B2733"/>
          <w:sz w:val="21"/>
          <w:szCs w:val="21"/>
        </w:rPr>
        <w:t xml:space="preserve">Le plan part d'un principe assumé : l'attaque réussira un jour. L'objectif n'est pas de l'empêcher absolument, mais de garantir que l'usine sait la voir, l'arrêter et redémarrer proprement.</w:t>
      </w:r>
    </w:p>
    <w:tbl>
      <w:tblPr>
        <w:tblW w:type="dxa" w:w="9600"/>
        <w:tblBorders>
          <w:top w:val="single" w:color="C7D0D8" w:sz="2"/>
          <w:left w:val="single" w:color="C7D0D8" w:sz="2"/>
          <w:bottom w:val="single" w:color="C7D0D8" w:sz="2"/>
          <w:right w:val="single" w:color="C7D0D8" w:sz="2"/>
          <w:insideH w:val="single" w:color="C7D0D8" w:sz="2"/>
          <w:insideV w:val="single" w:color="C7D0D8" w:sz="2"/>
        </w:tblBorders>
      </w:tblPr>
      <w:tblGrid>
        <w:gridCol w:w="1700"/>
        <w:gridCol w:w="5200"/>
        <w:gridCol w:w="1500"/>
        <w:gridCol w:w="1200"/>
      </w:tblGrid>
      <w:tr>
        <w:trPr>
          <w:tblHeader/>
        </w:trPr>
        <w:tc>
          <w:tcPr>
            <w:tcW w:type="dxa" w:w="17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Phase</w:t>
            </w:r>
          </w:p>
        </w:tc>
        <w:tc>
          <w:tcPr>
            <w:tcW w:type="dxa" w:w="52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Action</w:t>
            </w:r>
          </w:p>
        </w:tc>
        <w:tc>
          <w:tcPr>
            <w:tcW w:type="dxa" w:w="15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Responsable</w:t>
            </w:r>
          </w:p>
        </w:tc>
        <w:tc>
          <w:tcPr>
            <w:tcW w:type="dxa" w:w="1200"/>
            <w:shd w:fill="14507B" w:color="auto" w:val="clear"/>
            <w:tcMar>
              <w:top w:type="dxa" w:w="60"/>
              <w:left w:type="dxa" w:w="90"/>
              <w:bottom w:type="dxa" w:w="60"/>
              <w:right w:type="dxa" w:w="90"/>
            </w:tcMar>
            <w:vAlign w:val="center"/>
          </w:tcPr>
          <w:p>
            <w:pPr>
              <w:spacing w:after="0" w:before="0" w:line="276"/>
            </w:pPr>
            <w:r>
              <w:rPr>
                <w:rFonts w:ascii="Calibri" w:cs="Calibri" w:eastAsia="Calibri" w:hAnsi="Calibri"/>
                <w:b/>
                <w:bCs/>
                <w:i w:val="false"/>
                <w:iCs w:val="false"/>
                <w:caps/>
                <w:color w:val="FFFFFF"/>
                <w:sz w:val="17"/>
                <w:szCs w:val="17"/>
              </w:rPr>
              <w:t xml:space="preserve">Objectif</w:t>
            </w:r>
          </w:p>
        </w:tc>
      </w:tr>
      <w:tr>
        <w:tc>
          <w:tcPr>
            <w:tcW w:type="dxa" w:w="17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21"/>
                <w:szCs w:val="21"/>
              </w:rPr>
              <w:t xml:space="preserve">Détection</w:t>
            </w:r>
          </w:p>
        </w:tc>
        <w:tc>
          <w:tcPr>
            <w:tcW w:type="dxa" w:w="52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Alerte SIEM (écriture Modbus hors IHM, dépôt de programme) ou écart mesure/modèle</w:t>
            </w:r>
          </w:p>
        </w:tc>
        <w:tc>
          <w:tcPr>
            <w:tcW w:type="dxa" w:w="15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Astreinte</w:t>
            </w:r>
          </w:p>
        </w:tc>
        <w:tc>
          <w:tcPr>
            <w:tcW w:type="dxa" w:w="1200"/>
            <w:tcMar>
              <w:top w:type="dxa" w:w="60"/>
              <w:left w:type="dxa" w:w="90"/>
              <w:bottom w:type="dxa" w:w="60"/>
              <w:right w:type="dxa" w:w="90"/>
            </w:tcMar>
            <w:vAlign w:val="center"/>
          </w:tcPr>
          <w:p>
            <w:pPr>
              <w:spacing w:after="0" w:before="0" w:line="276"/>
              <w:jc w:val="right"/>
            </w:pPr>
            <w:r>
              <w:rPr>
                <w:rFonts w:ascii="Calibri" w:cs="Calibri" w:eastAsia="Calibri" w:hAnsi="Calibri"/>
                <w:b w:val="false"/>
                <w:bCs w:val="false"/>
                <w:i w:val="false"/>
                <w:iCs w:val="false"/>
                <w:caps w:val="false"/>
                <w:color w:val="1B2733"/>
                <w:sz w:val="21"/>
                <w:szCs w:val="21"/>
              </w:rPr>
              <w:t xml:space="preserve">&lt; 15 min</w:t>
            </w:r>
          </w:p>
        </w:tc>
      </w:tr>
      <w:tr>
        <w:tc>
          <w:tcPr>
            <w:tcW w:type="dxa" w:w="17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21"/>
                <w:szCs w:val="21"/>
              </w:rPr>
              <w:t xml:space="preserve">Qualification</w:t>
            </w:r>
          </w:p>
        </w:tc>
        <w:tc>
          <w:tcPr>
            <w:tcW w:type="dxa" w:w="52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Cellule de crise, gel des modifications, préservation des journaux et d'une capture réseau</w:t>
            </w:r>
          </w:p>
        </w:tc>
        <w:tc>
          <w:tcPr>
            <w:tcW w:type="dxa" w:w="15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RSSI + chef de quart</w:t>
            </w:r>
          </w:p>
        </w:tc>
        <w:tc>
          <w:tcPr>
            <w:tcW w:type="dxa" w:w="1200"/>
            <w:tcMar>
              <w:top w:type="dxa" w:w="60"/>
              <w:left w:type="dxa" w:w="90"/>
              <w:bottom w:type="dxa" w:w="60"/>
              <w:right w:type="dxa" w:w="90"/>
            </w:tcMar>
            <w:vAlign w:val="center"/>
          </w:tcPr>
          <w:p>
            <w:pPr>
              <w:spacing w:after="0" w:before="0" w:line="276"/>
              <w:jc w:val="right"/>
            </w:pPr>
            <w:r>
              <w:rPr>
                <w:rFonts w:ascii="Calibri" w:cs="Calibri" w:eastAsia="Calibri" w:hAnsi="Calibri"/>
                <w:b w:val="false"/>
                <w:bCs w:val="false"/>
                <w:i w:val="false"/>
                <w:iCs w:val="false"/>
                <w:caps w:val="false"/>
                <w:color w:val="1B2733"/>
                <w:sz w:val="21"/>
                <w:szCs w:val="21"/>
              </w:rPr>
              <w:t xml:space="preserve">&lt; 30 min</w:t>
            </w:r>
          </w:p>
        </w:tc>
      </w:tr>
      <w:tr>
        <w:tc>
          <w:tcPr>
            <w:tcW w:type="dxa" w:w="17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21"/>
                <w:szCs w:val="21"/>
              </w:rPr>
              <w:t xml:space="preserve">Confinement</w:t>
            </w:r>
          </w:p>
        </w:tc>
        <w:tc>
          <w:tcPr>
            <w:tcW w:type="dxa" w:w="52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Coupure du conduit supervision→automate, conduite locale ; la barrière SIL 2 reste active</w:t>
            </w:r>
          </w:p>
        </w:tc>
        <w:tc>
          <w:tcPr>
            <w:tcW w:type="dxa" w:w="15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Chef de quart</w:t>
            </w:r>
          </w:p>
        </w:tc>
        <w:tc>
          <w:tcPr>
            <w:tcW w:type="dxa" w:w="1200"/>
            <w:tcMar>
              <w:top w:type="dxa" w:w="60"/>
              <w:left w:type="dxa" w:w="90"/>
              <w:bottom w:type="dxa" w:w="60"/>
              <w:right w:type="dxa" w:w="90"/>
            </w:tcMar>
            <w:vAlign w:val="center"/>
          </w:tcPr>
          <w:p>
            <w:pPr>
              <w:spacing w:after="0" w:before="0" w:line="276"/>
              <w:jc w:val="right"/>
            </w:pPr>
            <w:r>
              <w:rPr>
                <w:rFonts w:ascii="Calibri" w:cs="Calibri" w:eastAsia="Calibri" w:hAnsi="Calibri"/>
                <w:b w:val="false"/>
                <w:bCs w:val="false"/>
                <w:i w:val="false"/>
                <w:iCs w:val="false"/>
                <w:caps w:val="false"/>
                <w:color w:val="1B2733"/>
                <w:sz w:val="21"/>
                <w:szCs w:val="21"/>
              </w:rPr>
              <w:t xml:space="preserve">&lt; 1 h</w:t>
            </w:r>
          </w:p>
        </w:tc>
      </w:tr>
      <w:tr>
        <w:tc>
          <w:tcPr>
            <w:tcW w:type="dxa" w:w="17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21"/>
                <w:szCs w:val="21"/>
              </w:rPr>
              <w:t xml:space="preserve">Éradication</w:t>
            </w:r>
          </w:p>
        </w:tc>
        <w:tc>
          <w:tcPr>
            <w:tcW w:type="dxa" w:w="52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Restauration du programme depuis sauvegarde vérifiée, rotation des secrets, reconstruction des postes</w:t>
            </w:r>
          </w:p>
        </w:tc>
        <w:tc>
          <w:tcPr>
            <w:tcW w:type="dxa" w:w="15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Automatisme + prestataire</w:t>
            </w:r>
          </w:p>
        </w:tc>
        <w:tc>
          <w:tcPr>
            <w:tcW w:type="dxa" w:w="1200"/>
            <w:tcMar>
              <w:top w:type="dxa" w:w="60"/>
              <w:left w:type="dxa" w:w="90"/>
              <w:bottom w:type="dxa" w:w="60"/>
              <w:right w:type="dxa" w:w="90"/>
            </w:tcMar>
            <w:vAlign w:val="center"/>
          </w:tcPr>
          <w:p>
            <w:pPr>
              <w:spacing w:after="0" w:before="0" w:line="276"/>
              <w:jc w:val="right"/>
            </w:pPr>
            <w:r>
              <w:rPr>
                <w:rFonts w:ascii="Calibri" w:cs="Calibri" w:eastAsia="Calibri" w:hAnsi="Calibri"/>
                <w:b w:val="false"/>
                <w:bCs w:val="false"/>
                <w:i w:val="false"/>
                <w:iCs w:val="false"/>
                <w:caps w:val="false"/>
                <w:color w:val="1B2733"/>
                <w:sz w:val="21"/>
                <w:szCs w:val="21"/>
              </w:rPr>
              <w:t xml:space="preserve">&lt; 4 h</w:t>
            </w:r>
          </w:p>
        </w:tc>
      </w:tr>
      <w:tr>
        <w:tc>
          <w:tcPr>
            <w:tcW w:type="dxa" w:w="17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21"/>
                <w:szCs w:val="21"/>
              </w:rPr>
              <w:t xml:space="preserve">Reprise</w:t>
            </w:r>
          </w:p>
        </w:tc>
        <w:tc>
          <w:tcPr>
            <w:tcW w:type="dxa" w:w="52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Essais, démarrage à froid progressif, surveillance renforcée 72 h</w:t>
            </w:r>
          </w:p>
        </w:tc>
        <w:tc>
          <w:tcPr>
            <w:tcW w:type="dxa" w:w="15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Exploitation</w:t>
            </w:r>
          </w:p>
        </w:tc>
        <w:tc>
          <w:tcPr>
            <w:tcW w:type="dxa" w:w="1200"/>
            <w:tcMar>
              <w:top w:type="dxa" w:w="60"/>
              <w:left w:type="dxa" w:w="90"/>
              <w:bottom w:type="dxa" w:w="60"/>
              <w:right w:type="dxa" w:w="90"/>
            </w:tcMar>
            <w:vAlign w:val="center"/>
          </w:tcPr>
          <w:p>
            <w:pPr>
              <w:spacing w:after="0" w:before="0" w:line="276"/>
              <w:jc w:val="right"/>
            </w:pPr>
            <w:r>
              <w:rPr>
                <w:rFonts w:ascii="Calibri" w:cs="Calibri" w:eastAsia="Calibri" w:hAnsi="Calibri"/>
                <w:b w:val="false"/>
                <w:bCs w:val="false"/>
                <w:i w:val="false"/>
                <w:iCs w:val="false"/>
                <w:caps w:val="false"/>
                <w:color w:val="1B2733"/>
                <w:sz w:val="21"/>
                <w:szCs w:val="21"/>
              </w:rPr>
              <w:t xml:space="preserve">&lt; 8 h</w:t>
            </w:r>
          </w:p>
        </w:tc>
      </w:tr>
      <w:tr>
        <w:tc>
          <w:tcPr>
            <w:tcW w:type="dxa" w:w="1700"/>
            <w:shd w:fill="F2F5F7" w:color="auto" w:val="clear"/>
            <w:tcMar>
              <w:top w:type="dxa" w:w="60"/>
              <w:left w:type="dxa" w:w="90"/>
              <w:bottom w:type="dxa" w:w="60"/>
              <w:right w:type="dxa" w:w="90"/>
            </w:tcMar>
            <w:vAlign w:val="center"/>
          </w:tcPr>
          <w:p>
            <w:pPr>
              <w:spacing w:after="0" w:before="0" w:line="250"/>
            </w:pPr>
            <w:r>
              <w:rPr>
                <w:rFonts w:ascii="Calibri" w:cs="Calibri" w:eastAsia="Calibri" w:hAnsi="Calibri"/>
                <w:b/>
                <w:bCs/>
                <w:i w:val="false"/>
                <w:iCs w:val="false"/>
                <w:caps w:val="false"/>
                <w:color w:val="1B2733"/>
                <w:sz w:val="21"/>
                <w:szCs w:val="21"/>
              </w:rPr>
              <w:t xml:space="preserve">Retour d'exp.</w:t>
            </w:r>
          </w:p>
        </w:tc>
        <w:tc>
          <w:tcPr>
            <w:tcW w:type="dxa" w:w="52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Analyse de la chaîne d'attaque, mise à jour des règles, déclaration réglementaire</w:t>
            </w:r>
          </w:p>
        </w:tc>
        <w:tc>
          <w:tcPr>
            <w:tcW w:type="dxa" w:w="1500"/>
            <w:tcMar>
              <w:top w:type="dxa" w:w="60"/>
              <w:left w:type="dxa" w:w="90"/>
              <w:bottom w:type="dxa" w:w="60"/>
              <w:right w:type="dxa" w:w="90"/>
            </w:tcMar>
            <w:vAlign w:val="center"/>
          </w:tcPr>
          <w:p>
            <w:pPr>
              <w:spacing w:after="0" w:before="0" w:line="250"/>
            </w:pPr>
            <w:r>
              <w:rPr>
                <w:rFonts w:ascii="Calibri" w:cs="Calibri" w:eastAsia="Calibri" w:hAnsi="Calibri"/>
                <w:b w:val="false"/>
                <w:bCs w:val="false"/>
                <w:i w:val="false"/>
                <w:iCs w:val="false"/>
                <w:caps w:val="false"/>
                <w:color w:val="1B2733"/>
                <w:sz w:val="21"/>
                <w:szCs w:val="21"/>
              </w:rPr>
              <w:t xml:space="preserve">RSSI</w:t>
            </w:r>
          </w:p>
        </w:tc>
        <w:tc>
          <w:tcPr>
            <w:tcW w:type="dxa" w:w="1200"/>
            <w:tcMar>
              <w:top w:type="dxa" w:w="60"/>
              <w:left w:type="dxa" w:w="90"/>
              <w:bottom w:type="dxa" w:w="60"/>
              <w:right w:type="dxa" w:w="90"/>
            </w:tcMar>
            <w:vAlign w:val="center"/>
          </w:tcPr>
          <w:p>
            <w:pPr>
              <w:spacing w:after="0" w:before="0" w:line="276"/>
              <w:jc w:val="right"/>
            </w:pPr>
            <w:r>
              <w:rPr>
                <w:rFonts w:ascii="Calibri" w:cs="Calibri" w:eastAsia="Calibri" w:hAnsi="Calibri"/>
                <w:b w:val="false"/>
                <w:bCs w:val="false"/>
                <w:i w:val="false"/>
                <w:iCs w:val="false"/>
                <w:caps w:val="false"/>
                <w:color w:val="1B2733"/>
                <w:sz w:val="21"/>
                <w:szCs w:val="21"/>
              </w:rPr>
              <w:t xml:space="preserve">&lt; 5 j</w:t>
            </w:r>
          </w:p>
        </w:tc>
      </w:tr>
    </w:tbl>
    <w:p>
      <w:pPr>
        <w:spacing w:after="100" w:before="0" w:line="276"/>
      </w:pPr>
      <w:r>
        <w:rPr>
          <w:rFonts w:ascii="Calibri" w:cs="Calibri" w:eastAsia="Calibri" w:hAnsi="Calibri"/>
          <w:b w:val="false"/>
          <w:bCs w:val="false"/>
          <w:i w:val="false"/>
          <w:iCs w:val="false"/>
          <w:caps w:val="false"/>
          <w:color w:val="1B2733"/>
          <w:sz w:val="21"/>
          <w:szCs w:val="21"/>
        </w:rPr>
        <w:t xml:space="preserve"/>
      </w:r>
    </w:p>
    <w:p>
      <w:pPr>
        <w:pStyle w:val="Heading2"/>
        <w:keepNext/>
        <w:spacing w:after="100" w:before="220"/>
      </w:pPr>
      <w:r>
        <w:rPr>
          <w:rFonts w:ascii="Calibri" w:cs="Calibri" w:eastAsia="Calibri" w:hAnsi="Calibri"/>
          <w:b/>
          <w:bCs/>
          <w:color w:val="33475B"/>
          <w:sz w:val="24"/>
          <w:szCs w:val="24"/>
        </w:rPr>
        <w:t xml:space="preserve">Modes dégradés et obligations</w:t>
      </w:r>
    </w:p>
    <w:p>
      <w:pPr>
        <w:pStyle w:val="ListParagraph"/>
        <w:numPr>
          <w:ilvl w:val="0"/>
          <w:numId w:val="2"/>
        </w:numPr>
        <w:spacing w:after="60" w:line="270"/>
      </w:pPr>
      <w:r>
        <w:rPr>
          <w:rFonts w:ascii="Calibri" w:cs="Calibri" w:eastAsia="Calibri" w:hAnsi="Calibri"/>
          <w:b/>
          <w:bCs/>
          <w:i w:val="false"/>
          <w:iCs w:val="false"/>
          <w:caps w:val="false"/>
          <w:color w:val="1B2733"/>
          <w:sz w:val="21"/>
          <w:szCs w:val="21"/>
        </w:rPr>
        <w:t xml:space="preserve">Conduite locale</w:t>
      </w:r>
      <w:r>
        <w:rPr>
          <w:rFonts w:ascii="Calibri" w:cs="Calibri" w:eastAsia="Calibri" w:hAnsi="Calibri"/>
          <w:b w:val="false"/>
          <w:bCs w:val="false"/>
          <w:i w:val="false"/>
          <w:iCs w:val="false"/>
          <w:caps w:val="false"/>
          <w:color w:val="1B2733"/>
          <w:sz w:val="21"/>
          <w:szCs w:val="21"/>
        </w:rPr>
        <w:t xml:space="preserve"> — pilotage depuis les coffrets, réseau de supervision débranché : produire en capacité réduite plutôt que s'arrêter (6 500 €/h préservés).</w:t>
      </w:r>
    </w:p>
    <w:p>
      <w:pPr>
        <w:pStyle w:val="ListParagraph"/>
        <w:numPr>
          <w:ilvl w:val="0"/>
          <w:numId w:val="2"/>
        </w:numPr>
        <w:spacing w:after="60" w:line="270"/>
      </w:pPr>
      <w:r>
        <w:rPr>
          <w:rFonts w:ascii="Calibri" w:cs="Calibri" w:eastAsia="Calibri" w:hAnsi="Calibri"/>
          <w:b/>
          <w:bCs/>
          <w:i w:val="false"/>
          <w:iCs w:val="false"/>
          <w:caps w:val="false"/>
          <w:color w:val="1B2733"/>
          <w:sz w:val="21"/>
          <w:szCs w:val="21"/>
        </w:rPr>
        <w:t xml:space="preserve">Repli sûr automatique</w:t>
      </w:r>
      <w:r>
        <w:rPr>
          <w:rFonts w:ascii="Calibri" w:cs="Calibri" w:eastAsia="Calibri" w:hAnsi="Calibri"/>
          <w:b w:val="false"/>
          <w:bCs w:val="false"/>
          <w:i w:val="false"/>
          <w:iCs w:val="false"/>
          <w:caps w:val="false"/>
          <w:color w:val="1B2733"/>
          <w:sz w:val="21"/>
          <w:szCs w:val="21"/>
        </w:rPr>
        <w:t xml:space="preserve"> — la barrière SIL 2 met le réacteur en position de sécurité sans intervention ni réseau.</w:t>
      </w:r>
    </w:p>
    <w:p>
      <w:pPr>
        <w:pStyle w:val="ListParagraph"/>
        <w:numPr>
          <w:ilvl w:val="0"/>
          <w:numId w:val="2"/>
        </w:numPr>
        <w:spacing w:after="60" w:line="270"/>
      </w:pPr>
      <w:r>
        <w:rPr>
          <w:rFonts w:ascii="Calibri" w:cs="Calibri" w:eastAsia="Calibri" w:hAnsi="Calibri"/>
          <w:b/>
          <w:bCs/>
          <w:i w:val="false"/>
          <w:iCs w:val="false"/>
          <w:caps w:val="false"/>
          <w:color w:val="1B2733"/>
          <w:sz w:val="21"/>
          <w:szCs w:val="21"/>
        </w:rPr>
        <w:t xml:space="preserve">Supervision de secours</w:t>
      </w:r>
      <w:r>
        <w:rPr>
          <w:rFonts w:ascii="Calibri" w:cs="Calibri" w:eastAsia="Calibri" w:hAnsi="Calibri"/>
          <w:b w:val="false"/>
          <w:bCs w:val="false"/>
          <w:i w:val="false"/>
          <w:iCs w:val="false"/>
          <w:caps w:val="false"/>
          <w:color w:val="1B2733"/>
          <w:sz w:val="21"/>
          <w:szCs w:val="21"/>
        </w:rPr>
        <w:t xml:space="preserve"> — poste opérateur hors domaine, dernière configuration IHM validée, stocké hors ligne.</w:t>
      </w:r>
    </w:p>
    <w:p>
      <w:pPr>
        <w:pStyle w:val="ListParagraph"/>
        <w:numPr>
          <w:ilvl w:val="0"/>
          <w:numId w:val="2"/>
        </w:numPr>
        <w:spacing w:after="60" w:line="270"/>
      </w:pPr>
      <w:r>
        <w:rPr>
          <w:rFonts w:ascii="Calibri" w:cs="Calibri" w:eastAsia="Calibri" w:hAnsi="Calibri"/>
          <w:b/>
          <w:bCs/>
          <w:i w:val="false"/>
          <w:iCs w:val="false"/>
          <w:caps w:val="false"/>
          <w:color w:val="1B2733"/>
          <w:sz w:val="21"/>
          <w:szCs w:val="21"/>
        </w:rPr>
        <w:t xml:space="preserve">NIS 2</w:t>
      </w:r>
      <w:r>
        <w:rPr>
          <w:rFonts w:ascii="Calibri" w:cs="Calibri" w:eastAsia="Calibri" w:hAnsi="Calibri"/>
          <w:b w:val="false"/>
          <w:bCs w:val="false"/>
          <w:i w:val="false"/>
          <w:iCs w:val="false"/>
          <w:caps w:val="false"/>
          <w:color w:val="1B2733"/>
          <w:sz w:val="21"/>
          <w:szCs w:val="21"/>
        </w:rPr>
        <w:t xml:space="preserve"> — alerte précoce sous 24 h, notification sous 72 h. Cellule de crise : direction, RSSI, HSE, intégrateur, assureur, autorité. Contacts sur papier en salle de contrôle.</w:t>
      </w:r>
    </w:p>
    <w:p>
      <w:pPr>
        <w:pStyle w:val="Heading1"/>
        <w:keepNext/>
        <w:spacing w:after="140" w:before="320"/>
      </w:pPr>
      <w:r>
        <w:rPr>
          <w:rFonts w:ascii="Cambria" w:cs="Cambria" w:eastAsia="Cambria" w:hAnsi="Cambria"/>
          <w:b/>
          <w:bCs/>
          <w:color w:val="14507B"/>
          <w:sz w:val="30"/>
          <w:szCs w:val="30"/>
        </w:rPr>
        <w:t xml:space="preserve">§8   </w:t>
      </w:r>
      <w:r>
        <w:rPr>
          <w:rFonts w:ascii="Cambria" w:cs="Cambria" w:eastAsia="Cambria" w:hAnsi="Cambria"/>
          <w:b/>
          <w:bCs/>
          <w:color w:val="1B2733"/>
          <w:sz w:val="30"/>
          <w:szCs w:val="30"/>
        </w:rPr>
        <w:t xml:space="preserve">Synthèse</w:t>
      </w:r>
    </w:p>
    <w:p>
      <w:pPr>
        <w:spacing w:after="120" w:before="0" w:line="276"/>
      </w:pPr>
      <w:r>
        <w:rPr>
          <w:rFonts w:ascii="Calibri" w:cs="Calibri" w:eastAsia="Calibri" w:hAnsi="Calibri"/>
          <w:b w:val="false"/>
          <w:bCs w:val="false"/>
          <w:i w:val="false"/>
          <w:iCs w:val="false"/>
          <w:caps w:val="false"/>
          <w:color w:val="1B2733"/>
          <w:sz w:val="21"/>
          <w:szCs w:val="21"/>
        </w:rPr>
        <w:t xml:space="preserve">L'installation part de zéro : pare-feu ouvert, identifiants d'origine, protocole de commande sans authentification, aucune détection, aucune barrière physique indépendante. La chaîne d'attaque rejouée en TP n'a exigé ni faille logicielle inédite, ni compétence rare.</w:t>
      </w:r>
    </w:p>
    <w:p>
      <w:pPr>
        <w:spacing w:after="120" w:before="0" w:line="276"/>
      </w:pPr>
      <w:r>
        <w:rPr>
          <w:rFonts w:ascii="Calibri" w:cs="Calibri" w:eastAsia="Calibri" w:hAnsi="Calibri"/>
          <w:b w:val="false"/>
          <w:bCs w:val="false"/>
          <w:i w:val="false"/>
          <w:iCs w:val="false"/>
          <w:caps w:val="false"/>
          <w:color w:val="1B2733"/>
          <w:sz w:val="21"/>
          <w:szCs w:val="21"/>
        </w:rPr>
        <w:t xml:space="preserve">C'est aussi ce qui rend le redressement accessible : </w:t>
      </w:r>
      <w:r>
        <w:rPr>
          <w:rFonts w:ascii="Calibri" w:cs="Calibri" w:eastAsia="Calibri" w:hAnsi="Calibri"/>
          <w:b/>
          <w:bCs/>
          <w:i w:val="false"/>
          <w:iCs w:val="false"/>
          <w:caps w:val="false"/>
          <w:color w:val="1B2733"/>
          <w:sz w:val="21"/>
          <w:szCs w:val="21"/>
        </w:rPr>
        <w:t xml:space="preserve">17 850 € et deux semaines</w:t>
      </w:r>
      <w:r>
        <w:rPr>
          <w:rFonts w:ascii="Calibri" w:cs="Calibri" w:eastAsia="Calibri" w:hAnsi="Calibri"/>
          <w:b w:val="false"/>
          <w:bCs w:val="false"/>
          <w:i w:val="false"/>
          <w:iCs w:val="false"/>
          <w:caps w:val="false"/>
          <w:color w:val="1B2733"/>
          <w:sz w:val="21"/>
          <w:szCs w:val="21"/>
        </w:rPr>
        <w:t xml:space="preserve"> suffisent à couper cette chaîne et à porter l'installation au niveau SL 2, celui qui correspond au profil d'attaquant rencontré. Les lots suivants portent la zone de contrôle à SL 3 et réintroduisent une sécurité physique que la compromission du numérique ne peut pas annuler.</w:t>
      </w:r>
    </w:p>
    <w:p>
      <w:pPr>
        <w:spacing w:after="120" w:before="0" w:line="276"/>
      </w:pPr>
      <w:r>
        <w:rPr>
          <w:rFonts w:ascii="Calibri" w:cs="Calibri" w:eastAsia="Calibri" w:hAnsi="Calibri"/>
          <w:b/>
          <w:bCs/>
          <w:i/>
          <w:iCs/>
          <w:caps w:val="false"/>
          <w:color w:val="14507B"/>
          <w:sz w:val="21"/>
          <w:szCs w:val="21"/>
        </w:rPr>
        <w:t xml:space="preserve">La question posée à la direction n'est donc pas « faut-il dépenser 222 570 € ? » mais « accepte-t-on de rester exposé à un arrêt de 468 000 € que quatre jours de travail bien ciblés rendent improbable ? »</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6B78"/>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8" w:sz="2" w:space="4"/>
      </w:pBdr>
      <w:jc w:val="right"/>
    </w:pPr>
    <w:r>
      <w:rPr>
        <w:rFonts w:ascii="Calibri" w:cs="Calibri" w:eastAsia="Calibri" w:hAnsi="Calibri"/>
        <w:b w:val="false"/>
        <w:bCs w:val="false"/>
        <w:i w:val="false"/>
        <w:iCs w:val="false"/>
        <w:caps w:val="false"/>
        <w:color w:val="5A6B78"/>
        <w:sz w:val="16"/>
        <w:szCs w:val="16"/>
      </w:rPr>
      <w:t xml:space="preserve">Sécurisation de l'usine GRFICS · ECAM 5N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4507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Sécurisation de l'usine GRFICS</dc:title>
  <dc:creator>ECAM 5N 2027</dc:creator>
  <cp:lastModifiedBy>Un-named</cp:lastModifiedBy>
  <cp:revision>1</cp:revision>
  <dcterms:created xsi:type="dcterms:W3CDTF">2026-09-16T12:35:09.493Z</dcterms:created>
  <dcterms:modified xsi:type="dcterms:W3CDTF">2026-09-16T12:35:09.493Z</dcterms:modified>
</cp:coreProperties>
</file>

<file path=docProps/custom.xml><?xml version="1.0" encoding="utf-8"?>
<Properties xmlns="http://schemas.openxmlformats.org/officeDocument/2006/custom-properties" xmlns:vt="http://schemas.openxmlformats.org/officeDocument/2006/docPropsVTypes"/>
</file>