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UNIVERSITÁRIO SENAC</w:t>
      </w:r>
    </w:p>
    <w:p w:rsidR="00000000" w:rsidDel="00000000" w:rsidP="00000000" w:rsidRDefault="00000000" w:rsidRPr="00000000" w14:paraId="00000002">
      <w:pPr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INTEGRADOR: DESENVOLVIMENTO DE SISTEMAS ORIENTADOS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DE UM SISTEMA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sz w:val="24"/>
          <w:szCs w:val="24"/>
          <w:rtl w:val="0"/>
        </w:rPr>
        <w:t xml:space="preserve">Enoque Leal</w:t>
      </w:r>
    </w:p>
    <w:p w:rsidR="00000000" w:rsidDel="00000000" w:rsidP="00000000" w:rsidRDefault="00000000" w:rsidRPr="00000000" w14:paraId="0000000B">
      <w:pPr>
        <w:spacing w:after="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 do grupo: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HENRIQUE DEL VECCHIO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JEFFERSON EIDY TOKURA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MIGUEL OLIVEIRA FERREIRA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PAULO PEDRO FRANCO NETTO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RICARDO LUCAS TIEPPO MARTINS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TATIANE SOUSA DA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VICTOR RODRIGUES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YASMIM MARIE PATRICIO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left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left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firstLine="0"/>
        <w:jc w:val="center"/>
        <w:rPr/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EAD- ENSINO A DISTÂNCIA- 2025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firstLine="0"/>
        <w:jc w:val="center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RESUMO:</w:t>
      </w:r>
      <w:r w:rsidDel="00000000" w:rsidR="00000000" w:rsidRPr="00000000">
        <w:rPr>
          <w:b w:val="0"/>
          <w:sz w:val="24"/>
          <w:szCs w:val="24"/>
          <w:rtl w:val="0"/>
        </w:rPr>
        <w:t xml:space="preserve">Foi feito um processo de modelagem de um sistema Orientado a Objetos, voltado a gestão de dados de uma grande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..............................................................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e Sumário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............................................................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............................................................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....................................................... 4</w:t>
        <w:br w:type="textWrapping"/>
        <w:t xml:space="preserve">3.1. Caso de Uso 1 – Cadastro de Pessoa Física .................. 4</w:t>
        <w:br w:type="textWrapping"/>
        <w:t xml:space="preserve">3.2. Caso de Uso 2 – Cadastro de Pessoa Jurídica ............... 5</w:t>
        <w:br w:type="textWrapping"/>
        <w:t xml:space="preserve">3.3. Caso de Uso 3 – Cadastro de Professores ................... 6</w:t>
        <w:br w:type="textWrapping"/>
        <w:t xml:space="preserve">3.4. Caso de Uso 4 – Cadastro de Fornecedores ................ 7</w:t>
        <w:br w:type="textWrapping"/>
        <w:t xml:space="preserve">3.5. Caso de Uso 5 – Cadastro de Alunos ........................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...........................................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 e Referências Bibliográficas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........................................................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856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1 – Cadastro de Pessoa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Usuário do sistema (Administrador ou Atendente)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o cadastro de uma nova Pessoa Física, com informações como nome, CPF, data de nascimento e endereço.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 usuário deve estar autenticado e com acesso ao módulo de cadastro de pessoas.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acessa o menu de cadastros.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Seleciona a opção “Pessoa Física”.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 formulário de cadastro.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os campos obrigatórios.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clica em “Salvar”.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valida os dados.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armazena as informações no banco de dados.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sucesso.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Alternativo 1 – CPF Inválido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detecta que o CPF está em formato inválido.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Exibe mensagem de erro.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corrige e tenta novamente.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Alternativo 2 – Campos Obrigatórios em Branco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tenta salvar sem preencher todos os campos obrigatórios.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alerta sobre os campos não preenchidos.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completa os dados e salva novamente.</w:t>
      </w:r>
    </w:p>
    <w:p w:rsidR="00000000" w:rsidDel="00000000" w:rsidP="00000000" w:rsidRDefault="00000000" w:rsidRPr="00000000" w14:paraId="00000064">
      <w:p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 Pessoa Física é registrada no sistema e disponível para consultas e edições.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2 – Cadastro de Pessoa Jurídica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Usuário do sistema (Administrador ou Atendente)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o cadastro de uma Pessoa Jurídica, incluindo CNPJ, razão social, nome fantasia e endereço.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Usuário deve estar logado no sistema com permissão de acesso.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acessa o menu de cadastros.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Seleciona “Pessoa Jurídica”.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 formulário.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insere razão social, CNPJ e endereço.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salva os dados.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valida o CNPJ e os campos obrigatórios.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são salvos no banco.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confirma o cadastro com uma mensagem.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Alternativo 1 – CNPJ Inválido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identifica um CNPJ incorreto.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 erro ao usuário.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corrige e prossegue.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Alternativo 2 – Empresa Já Cadastrada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detecta duplicidade de CNPJ.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 que a empresa já existe no sistema.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revisa ou altera os dados.</w:t>
      </w:r>
    </w:p>
    <w:p w:rsidR="00000000" w:rsidDel="00000000" w:rsidP="00000000" w:rsidRDefault="00000000" w:rsidRPr="00000000" w14:paraId="0000007A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 Pessoa Jurídica é cadastrada com sucesso no sistema.</w:t>
      </w:r>
    </w:p>
    <w:p w:rsidR="00000000" w:rsidDel="00000000" w:rsidP="00000000" w:rsidRDefault="00000000" w:rsidRPr="00000000" w14:paraId="0000007B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3 – Cadastro de Professores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Usuário do sistema (Secretaria ou Coordenador Acadêmico)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cadastrar professores, associando-os a disciplinas, turnos e turmas.</w:t>
      </w:r>
    </w:p>
    <w:p w:rsidR="00000000" w:rsidDel="00000000" w:rsidP="00000000" w:rsidRDefault="00000000" w:rsidRPr="00000000" w14:paraId="0000007E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Usuário autenticado com permissão para acessar o módulo de professores.</w:t>
      </w:r>
    </w:p>
    <w:p w:rsidR="00000000" w:rsidDel="00000000" w:rsidP="00000000" w:rsidRDefault="00000000" w:rsidRPr="00000000" w14:paraId="0000007F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acessa a tela de cadastro de professores.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Preenche nome, CPF, formação, disciplina e turno.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 em “Salvar”.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valida os dados.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 no banco.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Exibe mensagem de sucesso.</w:t>
      </w:r>
    </w:p>
    <w:p w:rsidR="00000000" w:rsidDel="00000000" w:rsidP="00000000" w:rsidRDefault="00000000" w:rsidRPr="00000000" w14:paraId="00000086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Alternativo 1 – CPF já utilizado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encontra CPF duplicado.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 erro.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decide revisar ou cancelar.</w:t>
      </w:r>
    </w:p>
    <w:p w:rsidR="00000000" w:rsidDel="00000000" w:rsidP="00000000" w:rsidRDefault="00000000" w:rsidRPr="00000000" w14:paraId="0000008A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Alternativo 2 – Disciplina inexistente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selecionar uma disciplina, ela não está cadastrada.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erro.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cadastrar a disciplina antes de continuar.</w:t>
      </w:r>
    </w:p>
    <w:p w:rsidR="00000000" w:rsidDel="00000000" w:rsidP="00000000" w:rsidRDefault="00000000" w:rsidRPr="00000000" w14:paraId="0000008E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 professor é registrado e disponível para alocação em turmas.</w:t>
      </w:r>
    </w:p>
    <w:p w:rsidR="00000000" w:rsidDel="00000000" w:rsidP="00000000" w:rsidRDefault="00000000" w:rsidRPr="00000000" w14:paraId="0000008F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4 – Cadastro de 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Usuário do sistema (Setor Financeiro ou Compras)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cadastrar fornecedores com dados como razão social, CNPJ, telefone e produtos fornecidos.</w:t>
      </w:r>
    </w:p>
    <w:p w:rsidR="00000000" w:rsidDel="00000000" w:rsidP="00000000" w:rsidRDefault="00000000" w:rsidRPr="00000000" w14:paraId="00000096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Usuário deve estar logado com permissão de acesso ao cadastro de fornecedores.</w:t>
      </w:r>
    </w:p>
    <w:p w:rsidR="00000000" w:rsidDel="00000000" w:rsidP="00000000" w:rsidRDefault="00000000" w:rsidRPr="00000000" w14:paraId="00000097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acessa o módulo de fornecedores.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 em “Novo Cadastro”.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Preenche os dados obrigatórios.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 em “Salvar”.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valida os dados.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Armazena o fornecedor no banco.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Exibe mensagem de sucesso.</w:t>
      </w:r>
    </w:p>
    <w:p w:rsidR="00000000" w:rsidDel="00000000" w:rsidP="00000000" w:rsidRDefault="00000000" w:rsidRPr="00000000" w14:paraId="0000009F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Alternativo 1 – CNPJ duplicado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CNPJ já existe no sistema.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alerta sobre duplicidade.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revisar o cadastro.</w:t>
      </w:r>
    </w:p>
    <w:p w:rsidR="00000000" w:rsidDel="00000000" w:rsidP="00000000" w:rsidRDefault="00000000" w:rsidRPr="00000000" w14:paraId="000000A3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Alternativo 2 – Falha ao salvar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Ocorre erro na comunicação com o banco de dados.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erro.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tenta novamente ou entra em contato com suporte.</w:t>
      </w:r>
    </w:p>
    <w:p w:rsidR="00000000" w:rsidDel="00000000" w:rsidP="00000000" w:rsidRDefault="00000000" w:rsidRPr="00000000" w14:paraId="000000A7">
      <w:pPr>
        <w:spacing w:after="16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 fornecedor é cadastrado no sistema e disponível para futuras compras.</w:t>
      </w:r>
    </w:p>
    <w:p w:rsidR="00000000" w:rsidDel="00000000" w:rsidP="00000000" w:rsidRDefault="00000000" w:rsidRPr="00000000" w14:paraId="000000A8">
      <w:pPr>
        <w:spacing w:after="160"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5 – Cadastro de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Usuário do sistema (Secretaria Escolar)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cadastrar alunos com informações como nome, CPF, data de nascimento, turma e responsável.</w:t>
      </w:r>
    </w:p>
    <w:p w:rsidR="00000000" w:rsidDel="00000000" w:rsidP="00000000" w:rsidRDefault="00000000" w:rsidRPr="00000000" w14:paraId="000000AD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Usuário deve estar autenticado e com acesso ao módulo de alunos.</w:t>
      </w:r>
    </w:p>
    <w:p w:rsidR="00000000" w:rsidDel="00000000" w:rsidP="00000000" w:rsidRDefault="00000000" w:rsidRPr="00000000" w14:paraId="000000AE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no cadastro de alunos.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Preenche os campos necessários.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Seleciona a turma do aluno.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 o responsável, se necessário.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 o cadastro.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valida os dados.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Grava no banco.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 mensagem de sucesso.</w:t>
      </w:r>
    </w:p>
    <w:p w:rsidR="00000000" w:rsidDel="00000000" w:rsidP="00000000" w:rsidRDefault="00000000" w:rsidRPr="00000000" w14:paraId="000000B7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Alternativo 1 – Turma não cadastrada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tenta selecionar uma turma que não existe.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informa a ausência.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cadastrar a turma.</w:t>
      </w:r>
    </w:p>
    <w:p w:rsidR="00000000" w:rsidDel="00000000" w:rsidP="00000000" w:rsidRDefault="00000000" w:rsidRPr="00000000" w14:paraId="000000BB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Alternativo 2 – CPF do aluno inválido ou repetido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valida o CPF e detecta erro.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Exibe mensagem.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1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corrige antes de continuar.</w:t>
      </w:r>
    </w:p>
    <w:p w:rsidR="00000000" w:rsidDel="00000000" w:rsidP="00000000" w:rsidRDefault="00000000" w:rsidRPr="00000000" w14:paraId="000000BF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 aluno é cadastrado e pode ser matriculado e gerenciado no sistema.</w:t>
      </w:r>
    </w:p>
    <w:p w:rsidR="00000000" w:rsidDel="00000000" w:rsidP="00000000" w:rsidRDefault="00000000" w:rsidRPr="00000000" w14:paraId="000000C0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590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diagrama de classes apresenta os tipos de pessoas que fazem parte do sistema de gestão de uma universidade. A classe Pessoa foi definida como base, contendo atributos comuns como id, nome e email. Assim sendo uma superclasse para as outras classes, e assim criando subclasses com cada atributo, ajudando a estrutura ficar mais organizada.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 </w:t>
      </w:r>
    </w:p>
    <w:p w:rsidR="00000000" w:rsidDel="00000000" w:rsidP="00000000" w:rsidRDefault="00000000" w:rsidRPr="00000000" w14:paraId="000000C9">
      <w:pPr>
        <w:spacing w:after="160" w:before="0" w:line="276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 desenvolvimento deste projeto integrador permitiu aplicar os conceitos fundamentais da programação orientada a objetos em um contexto prático e relevante. A modelagem apresentada demonstra como o uso de classes, atributos e herança pode estruturar sistemas complexos de maneira organizada e eficiente, facilitando a manutenção e a escalabilidade. </w:t>
      </w:r>
    </w:p>
    <w:p w:rsidR="00000000" w:rsidDel="00000000" w:rsidP="00000000" w:rsidRDefault="00000000" w:rsidRPr="00000000" w14:paraId="000000CA">
      <w:pPr>
        <w:spacing w:after="160" w:before="0" w:line="276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CC">
      <w:pPr>
        <w:spacing w:after="160" w:before="0" w:line="276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LucidChart</w:t>
      </w:r>
      <w:r w:rsidDel="00000000" w:rsidR="00000000" w:rsidRPr="00000000">
        <w:rPr>
          <w:b w:val="0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color w:val="282c33"/>
          <w:sz w:val="24"/>
          <w:szCs w:val="24"/>
          <w:rtl w:val="0"/>
        </w:rPr>
        <w:t xml:space="preserve">Software de diagramas UML online</w:t>
      </w:r>
      <w:r w:rsidDel="00000000" w:rsidR="00000000" w:rsidRPr="00000000">
        <w:rPr>
          <w:b w:val="0"/>
          <w:sz w:val="24"/>
          <w:szCs w:val="24"/>
          <w:rtl w:val="0"/>
        </w:rPr>
        <w:t xml:space="preserve">. Disponível em: </w:t>
      </w:r>
      <w:hyperlink r:id="rId8">
        <w:r w:rsidDel="00000000" w:rsidR="00000000" w:rsidRPr="00000000">
          <w:rPr>
            <w:b w:val="0"/>
            <w:color w:val="000080"/>
            <w:sz w:val="24"/>
            <w:szCs w:val="24"/>
            <w:u w:val="single"/>
            <w:rtl w:val="0"/>
          </w:rPr>
          <w:t xml:space="preserve">https://www.lucidchart.com/pages/pt/exemplos/uml-online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2013" w:left="1440" w:right="1440" w:header="144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ucidchart.com/pages/pt/exemplos/uml-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