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03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0" w:before="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0" w:before="60" w:lineRule="auto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-q </w:t>
      </w:r>
      <w:r w:rsidDel="00000000" w:rsidR="00000000" w:rsidRPr="00000000">
        <w:rPr>
          <w:color w:val="ff0000"/>
          <w:rtl w:val="0"/>
        </w:rPr>
        <w:t xml:space="preserve">na superfície 1;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2;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 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190500</wp:posOffset>
            </wp:positionV>
            <wp:extent cx="2026312" cy="1565038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312" cy="156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o capacitor comercial ao lado, com a origem do referencial na placa negativa, assinale a opção que melhor descreve o potencial eletrostático entre as placas carregadas ±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Resposta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u w:val="none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Dado que o potencial eletrost</w:t>
      </w:r>
      <w:r w:rsidDel="00000000" w:rsidR="00000000" w:rsidRPr="00000000">
        <w:rPr>
          <w:color w:val="ff0000"/>
          <w:rtl w:val="0"/>
        </w:rPr>
        <w:t xml:space="preserve">ático de uma partícula carregadas vale zero quando considerado uma distância de observação muito grande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ff0000"/>
          <w:sz w:val="24"/>
          <w:szCs w:val="24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