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30BB4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CONTRATO DE PRESTAÇÃO DE SERVIÇOS</w:t>
      </w:r>
    </w:p>
    <w:p w14:paraId="4E14E1F7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22D9806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Pelo presente instrumento particular, de um lado:</w:t>
      </w:r>
    </w:p>
    <w:p w14:paraId="7A2DE91B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53236E2" w14:textId="77777777" w:rsidR="008118D9" w:rsidRPr="00FB5CAC" w:rsidRDefault="00000000" w:rsidP="008118D9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 xml:space="preserve">{{r </w:t>
      </w:r>
      <w:proofErr w:type="spellStart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bloco_</w:t>
      </w:r>
      <w:proofErr w:type="gramStart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cliente</w:t>
      </w:r>
      <w:proofErr w:type="spellEnd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 xml:space="preserve"> }</w:t>
      </w:r>
      <w:proofErr w:type="gramEnd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}</w:t>
      </w:r>
    </w:p>
    <w:p w14:paraId="4E54A339" w14:textId="2270769D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AA68338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  <w:t>E, de outro lado,</w:t>
      </w:r>
    </w:p>
    <w:p w14:paraId="2104CD3E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b/>
          <w:color w:val="000000"/>
          <w:sz w:val="20"/>
          <w:szCs w:val="20"/>
          <w:highlight w:val="white"/>
        </w:rPr>
        <w:t>BLINDSAFE SOLUCOES FINANCEIRAS LTDA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pessoa jurídica de direito privado, inscrita no CNPJ sob nº 60.941.780/0001-04, com sede na Estrada do Pau Ferro nº 480, Bloco 1, Sala 322, Rio de Janeiro – RJ, CEP: 22.743-051, endereço eletrônico: </w:t>
      </w:r>
      <w:hyperlink r:id="rId8" w:tooltip="mailto:blindsafe.sf@gmail.com" w:history="1">
        <w:r w:rsidR="00EE3CED">
          <w:rPr>
            <w:rFonts w:ascii="Arial" w:eastAsia="Arial" w:hAnsi="Arial" w:cs="Arial"/>
            <w:color w:val="0000FF"/>
            <w:sz w:val="20"/>
            <w:szCs w:val="20"/>
            <w:u w:val="single"/>
          </w:rPr>
          <w:t>blindsafe.sf@gmail.com</w:t>
        </w:r>
      </w:hyperlink>
      <w:r>
        <w:rPr>
          <w:rFonts w:ascii="Arial" w:eastAsia="Arial" w:hAnsi="Arial" w:cs="Arial"/>
          <w:color w:val="000000"/>
          <w:sz w:val="20"/>
          <w:szCs w:val="20"/>
        </w:rPr>
        <w:t>, doravante denominada “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Contratada</w:t>
      </w:r>
      <w:r>
        <w:rPr>
          <w:rFonts w:ascii="Arial" w:eastAsia="Arial" w:hAnsi="Arial" w:cs="Arial"/>
          <w:color w:val="000000"/>
          <w:sz w:val="20"/>
          <w:szCs w:val="20"/>
        </w:rPr>
        <w:t>”.</w:t>
      </w:r>
    </w:p>
    <w:p w14:paraId="50428B74" w14:textId="77777777" w:rsidR="00EE3CED" w:rsidRDefault="00EE3CED">
      <w:pPr>
        <w:jc w:val="both"/>
        <w:rPr>
          <w:rFonts w:ascii="Arial" w:eastAsia="Arial" w:hAnsi="Arial" w:cs="Arial"/>
          <w:sz w:val="20"/>
          <w:szCs w:val="20"/>
        </w:rPr>
      </w:pPr>
    </w:p>
    <w:p w14:paraId="23ECC95E" w14:textId="77777777" w:rsidR="00EE3CED" w:rsidRDefault="00EE3CED">
      <w:pPr>
        <w:jc w:val="both"/>
        <w:rPr>
          <w:rFonts w:ascii="Arial" w:eastAsia="Arial" w:hAnsi="Arial" w:cs="Arial"/>
          <w:sz w:val="20"/>
          <w:szCs w:val="20"/>
        </w:rPr>
      </w:pPr>
    </w:p>
    <w:p w14:paraId="4DF5E806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DADOS DO VEÍCULO</w:t>
      </w:r>
    </w:p>
    <w:tbl>
      <w:tblPr>
        <w:tblStyle w:val="StGen2"/>
        <w:tblW w:w="9435" w:type="dxa"/>
        <w:tblInd w:w="-75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60"/>
        <w:gridCol w:w="4575"/>
      </w:tblGrid>
      <w:tr w:rsidR="00EE3CED" w14:paraId="549D0483" w14:textId="77777777">
        <w:trPr>
          <w:trHeight w:val="799"/>
        </w:trPr>
        <w:tc>
          <w:tcPr>
            <w:tcW w:w="4860" w:type="dxa"/>
            <w:tcBorders>
              <w:top w:val="single" w:sz="4" w:space="0" w:color="000000"/>
              <w:left w:val="single" w:sz="4" w:space="0" w:color="000000"/>
            </w:tcBorders>
          </w:tcPr>
          <w:p w14:paraId="55FE216F" w14:textId="6CDFEF5B" w:rsidR="00EE3CED" w:rsidRDefault="008118D9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8118D9">
              <w:rPr>
                <w:rFonts w:ascii="Arial" w:eastAsia="Arial" w:hAnsi="Arial" w:cs="Arial"/>
                <w:sz w:val="20"/>
                <w:szCs w:val="20"/>
              </w:rPr>
              <w:t>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_marca_modelo</w:t>
            </w:r>
            <w:proofErr w:type="spellEnd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  <w:r>
              <w:rPr>
                <w:rFonts w:ascii="Arial" w:eastAsia="Arial" w:hAnsi="Arial" w:cs="Arial"/>
                <w:sz w:val="20"/>
                <w:szCs w:val="20"/>
              </w:rPr>
              <w:br/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8118D9">
              <w:rPr>
                <w:rFonts w:ascii="Arial" w:eastAsia="Arial" w:hAnsi="Arial" w:cs="Arial"/>
                <w:sz w:val="20"/>
                <w:szCs w:val="20"/>
              </w:rPr>
              <w:t>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ano</w:t>
            </w:r>
            <w:proofErr w:type="spellEnd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 }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11557977" w14:textId="2C234BEA" w:rsidR="00EE3CED" w:rsidRDefault="008118D9">
            <w:pPr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8118D9">
              <w:rPr>
                <w:rFonts w:ascii="Arial" w:eastAsia="Arial" w:hAnsi="Arial" w:cs="Arial"/>
                <w:sz w:val="20"/>
                <w:szCs w:val="20"/>
              </w:rPr>
              <w:t>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_placa</w:t>
            </w:r>
            <w:proofErr w:type="spellEnd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4575" w:type="dxa"/>
            <w:tcBorders>
              <w:top w:val="single" w:sz="4" w:space="0" w:color="000000"/>
              <w:right w:val="single" w:sz="4" w:space="0" w:color="000000"/>
            </w:tcBorders>
          </w:tcPr>
          <w:p w14:paraId="1721916A" w14:textId="6FF7CDF9" w:rsidR="00EE3CED" w:rsidRDefault="008118D9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8118D9">
              <w:rPr>
                <w:rFonts w:ascii="Arial" w:eastAsia="Arial" w:hAnsi="Arial" w:cs="Arial"/>
                <w:sz w:val="20"/>
                <w:szCs w:val="20"/>
              </w:rPr>
              <w:t>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cor</w:t>
            </w:r>
            <w:proofErr w:type="spellEnd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 }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5650AA3B" w14:textId="7E32C97B" w:rsidR="00EE3CED" w:rsidRDefault="008118D9">
            <w:pPr>
              <w:jc w:val="both"/>
              <w:rPr>
                <w:rFonts w:ascii="Tahoma" w:eastAsia="Tahoma" w:hAnsi="Tahoma" w:cs="Tahoma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8118D9">
              <w:rPr>
                <w:rFonts w:ascii="Arial" w:eastAsia="Arial" w:hAnsi="Arial" w:cs="Arial"/>
                <w:sz w:val="20"/>
                <w:szCs w:val="20"/>
              </w:rPr>
              <w:t>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_renavam</w:t>
            </w:r>
            <w:proofErr w:type="spellEnd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  <w:r>
              <w:rPr>
                <w:rFonts w:ascii="Arial" w:eastAsia="Arial" w:hAnsi="Arial" w:cs="Arial"/>
                <w:sz w:val="20"/>
                <w:szCs w:val="20"/>
              </w:rPr>
              <w:br/>
            </w:r>
            <w:proofErr w:type="gramStart"/>
            <w:r w:rsidRPr="008118D9">
              <w:rPr>
                <w:rFonts w:ascii="Tahoma" w:eastAsia="Tahoma" w:hAnsi="Tahoma" w:cs="Tahoma"/>
                <w:sz w:val="20"/>
                <w:szCs w:val="20"/>
              </w:rPr>
              <w:t xml:space="preserve">{{ </w:t>
            </w:r>
            <w:proofErr w:type="spellStart"/>
            <w:r w:rsidRPr="008118D9">
              <w:rPr>
                <w:rFonts w:ascii="Tahoma" w:eastAsia="Tahoma" w:hAnsi="Tahoma" w:cs="Tahoma"/>
                <w:sz w:val="20"/>
                <w:szCs w:val="20"/>
              </w:rPr>
              <w:t>veiculo</w:t>
            </w:r>
            <w:proofErr w:type="gramEnd"/>
            <w:r w:rsidRPr="008118D9">
              <w:rPr>
                <w:rFonts w:ascii="Tahoma" w:eastAsia="Tahoma" w:hAnsi="Tahoma" w:cs="Tahoma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Tahoma" w:eastAsia="Tahoma" w:hAnsi="Tahoma" w:cs="Tahoma"/>
                <w:sz w:val="20"/>
                <w:szCs w:val="20"/>
              </w:rPr>
              <w:t>obs</w:t>
            </w:r>
            <w:proofErr w:type="spellEnd"/>
            <w:r w:rsidRPr="008118D9">
              <w:rPr>
                <w:rFonts w:ascii="Tahoma" w:eastAsia="Tahoma" w:hAnsi="Tahoma" w:cs="Tahoma"/>
                <w:sz w:val="20"/>
                <w:szCs w:val="20"/>
              </w:rPr>
              <w:t xml:space="preserve"> }</w:t>
            </w:r>
            <w:proofErr w:type="gramEnd"/>
            <w:r w:rsidRPr="008118D9">
              <w:rPr>
                <w:rFonts w:ascii="Tahoma" w:eastAsia="Tahoma" w:hAnsi="Tahoma" w:cs="Tahoma"/>
                <w:sz w:val="20"/>
                <w:szCs w:val="20"/>
              </w:rPr>
              <w:t>}</w:t>
            </w:r>
            <w:r>
              <w:rPr>
                <w:rFonts w:ascii="Tahoma" w:eastAsia="Tahoma" w:hAnsi="Tahoma" w:cs="Tahoma"/>
                <w:sz w:val="20"/>
                <w:szCs w:val="20"/>
              </w:rPr>
              <w:t xml:space="preserve">   </w:t>
            </w:r>
          </w:p>
          <w:p w14:paraId="6F9F7D76" w14:textId="77777777" w:rsidR="00EE3CED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                                                      </w:t>
            </w:r>
          </w:p>
        </w:tc>
      </w:tr>
      <w:tr w:rsidR="00EE3CED" w14:paraId="00B79F82" w14:textId="77777777">
        <w:trPr>
          <w:trHeight w:val="60"/>
        </w:trPr>
        <w:tc>
          <w:tcPr>
            <w:tcW w:w="4860" w:type="dxa"/>
            <w:tcBorders>
              <w:top w:val="single" w:sz="4" w:space="0" w:color="000000"/>
            </w:tcBorders>
          </w:tcPr>
          <w:p w14:paraId="26C2FE1E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219B8749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66A1D2CF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575" w:type="dxa"/>
            <w:tcBorders>
              <w:top w:val="single" w:sz="4" w:space="0" w:color="000000"/>
            </w:tcBorders>
          </w:tcPr>
          <w:p w14:paraId="6921407D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BB3EDD4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1F6EE843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QUADRO RESUMO</w:t>
      </w:r>
    </w:p>
    <w:tbl>
      <w:tblPr>
        <w:tblStyle w:val="StGen3"/>
        <w:tblW w:w="9360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80"/>
        <w:gridCol w:w="4380"/>
      </w:tblGrid>
      <w:tr w:rsidR="00EE3CED" w14:paraId="39B9DC42" w14:textId="77777777">
        <w:tc>
          <w:tcPr>
            <w:tcW w:w="4980" w:type="dxa"/>
            <w:tcBorders>
              <w:top w:val="single" w:sz="4" w:space="0" w:color="000000"/>
              <w:left w:val="single" w:sz="4" w:space="0" w:color="000000"/>
            </w:tcBorders>
          </w:tcPr>
          <w:p w14:paraId="7CD1285B" w14:textId="77777777" w:rsidR="00EE3CED" w:rsidRPr="008118D9" w:rsidRDefault="00000000">
            <w:pP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  <w:r w:rsidRPr="008118D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 xml:space="preserve">1. </w:t>
            </w:r>
            <w:r w:rsidRPr="008118D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  <w:t>DADOS DO FINANCIAMENTO</w:t>
            </w:r>
          </w:p>
        </w:tc>
        <w:tc>
          <w:tcPr>
            <w:tcW w:w="4380" w:type="dxa"/>
            <w:tcBorders>
              <w:top w:val="single" w:sz="4" w:space="0" w:color="000000"/>
              <w:right w:val="single" w:sz="4" w:space="0" w:color="000000"/>
            </w:tcBorders>
          </w:tcPr>
          <w:p w14:paraId="7F06247A" w14:textId="77777777" w:rsidR="00EE3CED" w:rsidRDefault="00EE3CED">
            <w:pPr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</w:rPr>
            </w:pPr>
          </w:p>
          <w:p w14:paraId="29B256D4" w14:textId="77777777" w:rsidR="00EE3CED" w:rsidRDefault="00EE3CED">
            <w:pPr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</w:tc>
      </w:tr>
      <w:tr w:rsidR="00EE3CED" w14:paraId="5653E445" w14:textId="77777777">
        <w:tc>
          <w:tcPr>
            <w:tcW w:w="4980" w:type="dxa"/>
            <w:tcBorders>
              <w:left w:val="single" w:sz="4" w:space="0" w:color="000000"/>
            </w:tcBorders>
          </w:tcPr>
          <w:p w14:paraId="67435203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1.1 Banco Financiado: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{{banco}}</w:t>
            </w:r>
          </w:p>
          <w:p w14:paraId="1CAE3AAC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1.2 Dívida Atual: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</w:t>
            </w:r>
            <w:proofErr w:type="gramStart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divida</w:t>
            </w:r>
            <w:proofErr w:type="gramEnd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}}</w:t>
            </w:r>
          </w:p>
          <w:p w14:paraId="630D9C71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1.3 Valor da Parcela: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valor_parcela_banco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1C379197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1.4 Parcelas Totais: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parcelas_totais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1AD90EF9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1.5 Parcelas Pagas: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parcelas_pagas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14201404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1.6 Parcelas Em Aberto: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parcelas_abertas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2DACA1B7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1.7 Parcelas Vencidas: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parcelas_vencidas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52C4AF2A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1.8 Existe processo?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existe_processo</w:t>
            </w:r>
            <w:proofErr w:type="spellEnd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}}</w:t>
            </w:r>
          </w:p>
          <w:p w14:paraId="5E80B53F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0AB62DAC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 DESCRIÇÃO</w:t>
            </w:r>
          </w:p>
          <w:p w14:paraId="0A02D5A9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29CB7463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3.1 CUSTOS: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custos_desc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7D3CB215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3.2 PARCELAMENTO: {{parcelamento}}</w:t>
            </w:r>
          </w:p>
          <w:p w14:paraId="0D986689" w14:textId="1C88D1B5" w:rsidR="00EE3CED" w:rsidRDefault="008118D9" w:rsidP="008118D9">
            <w:pPr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3.3 Nº DE PARCELAS: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n_parcelas_qr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4380" w:type="dxa"/>
            <w:tcBorders>
              <w:right w:val="single" w:sz="4" w:space="0" w:color="000000"/>
            </w:tcBorders>
          </w:tcPr>
          <w:p w14:paraId="2AA25E3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3205A359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1D5863B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62F69A9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29960374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7B0F3621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119C8AA6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3D7FC31E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3090EEA9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4320A482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  <w:tr w:rsidR="00EE3CED" w14:paraId="7776E59E" w14:textId="77777777">
        <w:trPr>
          <w:trHeight w:val="60"/>
        </w:trPr>
        <w:tc>
          <w:tcPr>
            <w:tcW w:w="4980" w:type="dxa"/>
            <w:tcBorders>
              <w:top w:val="single" w:sz="4" w:space="0" w:color="000000"/>
            </w:tcBorders>
          </w:tcPr>
          <w:p w14:paraId="6B690B1F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7DC9F38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25D50408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380" w:type="dxa"/>
            <w:tcBorders>
              <w:top w:val="single" w:sz="4" w:space="0" w:color="000000"/>
            </w:tcBorders>
          </w:tcPr>
          <w:p w14:paraId="780874D4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2753E14D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57F70709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17365D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1ª – DO OBJETO</w:t>
      </w:r>
    </w:p>
    <w:p w14:paraId="3AD5C9B9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36A895CD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>1.1.</w:t>
      </w:r>
      <w:r>
        <w:rPr>
          <w:rFonts w:ascii="Arial" w:eastAsia="Arial" w:hAnsi="Arial" w:cs="Arial"/>
          <w:sz w:val="20"/>
          <w:szCs w:val="20"/>
        </w:rPr>
        <w:t xml:space="preserve"> O presente contrato tem por objeto a prestação de serviços de assessoria e consultoria técnica em contratos financeiros, recuperação de crédito e conciliação bancária, visando à negociação extrajudicial de débitos e à eventual redução da dívida de </w:t>
      </w:r>
      <w:r w:rsidRPr="008118D9">
        <w:rPr>
          <w:rFonts w:ascii="Arial" w:eastAsia="Arial" w:hAnsi="Arial" w:cs="Arial"/>
          <w:color w:val="000000" w:themeColor="text1"/>
          <w:sz w:val="20"/>
          <w:szCs w:val="20"/>
        </w:rPr>
        <w:t xml:space="preserve">financiamento bancário </w:t>
      </w:r>
      <w:r>
        <w:rPr>
          <w:rFonts w:ascii="Arial" w:eastAsia="Arial" w:hAnsi="Arial" w:cs="Arial"/>
          <w:sz w:val="20"/>
          <w:szCs w:val="20"/>
        </w:rPr>
        <w:t>da parte CONTRATANTE.</w:t>
      </w:r>
    </w:p>
    <w:p w14:paraId="7C8799E8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</w:p>
    <w:p w14:paraId="79286193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1.2.</w:t>
      </w:r>
      <w:r>
        <w:rPr>
          <w:rFonts w:ascii="Arial" w:eastAsia="Arial" w:hAnsi="Arial" w:cs="Arial"/>
          <w:sz w:val="20"/>
          <w:szCs w:val="20"/>
        </w:rPr>
        <w:t xml:space="preserve"> O procedimento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visando a redução do financiamento bancário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é único e exclusivamente administrativo, ou seja, extrajudicial.</w:t>
      </w:r>
    </w:p>
    <w:p w14:paraId="1D342DD4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5CEE75E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1.3.</w:t>
      </w:r>
      <w:r>
        <w:rPr>
          <w:rFonts w:ascii="Arial" w:eastAsia="Arial" w:hAnsi="Arial" w:cs="Arial"/>
          <w:sz w:val="20"/>
          <w:szCs w:val="20"/>
        </w:rPr>
        <w:t xml:space="preserve"> A prestação dos serviços compreende:</w:t>
      </w:r>
    </w:p>
    <w:p w14:paraId="1D8EFAA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133D708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análise documental fornecida pelo CLIENTE;</w:t>
      </w:r>
    </w:p>
    <w:p w14:paraId="0CCCFE03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2F398418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emissão de parecer técnico ou informativo quanto à viabilidade de revisão contratual;</w:t>
      </w:r>
    </w:p>
    <w:p w14:paraId="4C8D5FBD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669EB963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Orientar quanto a eventuais medidas extrajudiciais cabíveis;</w:t>
      </w:r>
    </w:p>
    <w:p w14:paraId="723B0219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5CCC71F1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A intermediação do contato entre o CLIENTE e escritório(s) de advocacia habilitado(s), quando, a critério técnico, for recomendável a adoção de medidas judiciais, mediante autorização do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CONTRATANTE</w:t>
      </w:r>
      <w:r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2A3C03F1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ind w:left="851"/>
        <w:rPr>
          <w:rFonts w:ascii="Arial" w:eastAsia="Arial" w:hAnsi="Arial" w:cs="Arial"/>
          <w:color w:val="000000"/>
          <w:sz w:val="20"/>
          <w:szCs w:val="20"/>
        </w:rPr>
      </w:pPr>
    </w:p>
    <w:p w14:paraId="5B7002C6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Acompanhamento de tratativa de recuperação de crédito.</w:t>
      </w:r>
    </w:p>
    <w:p w14:paraId="7327580B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7699056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1.4.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compromete-se a prestar serviços de natureza exclusivamente técnica, voltados à análise e estruturação de contratos financeiros sob os aspectos econômico-financeiros. </w:t>
      </w:r>
    </w:p>
    <w:p w14:paraId="37D31446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7BDA3E3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1.5.</w:t>
      </w:r>
      <w:r>
        <w:rPr>
          <w:rFonts w:ascii="Arial" w:eastAsia="Arial" w:hAnsi="Arial" w:cs="Arial"/>
          <w:sz w:val="20"/>
          <w:szCs w:val="20"/>
        </w:rPr>
        <w:t xml:space="preserve"> Caso identifique a necessidade de análise e atuação jurídica, comunicará formalmente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o encaminhará, mediante autorização expressa, a advogado parceiro devidamente habilitado, sem quaisquer ônus ao cliente.</w:t>
      </w:r>
    </w:p>
    <w:p w14:paraId="014508D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071F87A" w14:textId="77777777" w:rsidR="00EE3CED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2ª – DAS OBRIGAÇÕES DO CONTRATANTE</w:t>
      </w:r>
    </w:p>
    <w:p w14:paraId="3F563344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8F99FED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</w:t>
      </w:r>
      <w:r>
        <w:rPr>
          <w:rFonts w:ascii="Arial" w:eastAsia="Arial" w:hAnsi="Arial" w:cs="Arial"/>
          <w:sz w:val="20"/>
          <w:szCs w:val="20"/>
        </w:rPr>
        <w:t xml:space="preserve">. Manter todos os seus dados atualizados (telefone, e-mail, endereço residencial e comercial) junto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4B793A56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4BFDD0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2.2</w:t>
      </w:r>
      <w:r>
        <w:rPr>
          <w:rFonts w:ascii="Arial" w:eastAsia="Arial" w:hAnsi="Arial" w:cs="Arial"/>
          <w:sz w:val="20"/>
          <w:szCs w:val="20"/>
        </w:rPr>
        <w:t xml:space="preserve">. Seguir rigorosamente todas as orientações repassadas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principalmente as orientações sobre como proceder diante de expedição de mandado de busca e apreensão.</w:t>
      </w:r>
    </w:p>
    <w:p w14:paraId="4F8ED23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5249507" w14:textId="485682CD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2.3.</w:t>
      </w:r>
      <w:r>
        <w:rPr>
          <w:rFonts w:ascii="Arial" w:eastAsia="Arial" w:hAnsi="Arial" w:cs="Arial"/>
          <w:sz w:val="20"/>
          <w:szCs w:val="20"/>
        </w:rPr>
        <w:t xml:space="preserve">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outorga de forma expressa e em caráter irrevogável e irretratável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os poderes para compor, ou seja, transigir extrajudicialmente e de forma unilateral junto à</w:t>
      </w:r>
      <w:r>
        <w:rPr>
          <w:rFonts w:ascii="Arial" w:eastAsia="Arial" w:hAnsi="Arial" w:cs="Arial"/>
          <w:color w:val="FF0000"/>
          <w:sz w:val="20"/>
          <w:szCs w:val="20"/>
        </w:rPr>
        <w:t xml:space="preserve"> </w:t>
      </w:r>
      <w:r w:rsidR="00566476" w:rsidRPr="00FB5CAC">
        <w:rPr>
          <w:rFonts w:ascii="Arial" w:eastAsia="Arial" w:hAnsi="Arial" w:cs="Arial"/>
          <w:bCs/>
          <w:color w:val="000000" w:themeColor="text1"/>
          <w:sz w:val="20"/>
          <w:szCs w:val="20"/>
        </w:rPr>
        <w:t>{{banco}}</w:t>
      </w:r>
      <w:r w:rsidR="00566476">
        <w:rPr>
          <w:rFonts w:ascii="Arial" w:eastAsia="Arial" w:hAnsi="Arial" w:cs="Arial"/>
          <w:bCs/>
          <w:color w:val="000000" w:themeColor="text1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que financiou seu veículo, ou a quem este outorgar a intermediação.</w:t>
      </w:r>
    </w:p>
    <w:p w14:paraId="5775F4B9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33A4C79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2.4.</w:t>
      </w:r>
      <w:r>
        <w:rPr>
          <w:rFonts w:ascii="Arial" w:eastAsia="Arial" w:hAnsi="Arial" w:cs="Arial"/>
          <w:sz w:val="20"/>
          <w:szCs w:val="20"/>
        </w:rPr>
        <w:t xml:space="preserve"> A negociação e a quitação do contrato de financiamento deverão ocorrer somente através da contratada, que intermediará e verificará a viabilidade do acordo a ser firmado, assim,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SE COMPROMETE A ENCAMINHAR TODOS OS CONTATOS REALIZADOS PELAS ASSESSORIAS DE COBRANÇA PARA A CONTRATADA, PARA QUE NÃO HAJA DIVERGENCIA DE ACORDO, BEM COMO SE COMPROMETE A COMPREENDER QUE REALIZAR PROPOSTAS e ACORDOS, DIRETAMENTE A INSTITUIÇÃO FINANCEIRA, OU ÀS EMPRESAS DE COBRANÇA NOMEADAS POR ESTA, PODERÁ CONFIGURAR PREJUIZO A NEGOCIAÇÃO, ensejando as sanções previstas na cláusula 7.2 deste contrato.</w:t>
      </w:r>
    </w:p>
    <w:p w14:paraId="4E94B40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9CBEE0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2.5.</w:t>
      </w:r>
      <w:r>
        <w:rPr>
          <w:rFonts w:ascii="Arial" w:eastAsia="Arial" w:hAnsi="Arial" w:cs="Arial"/>
          <w:sz w:val="20"/>
          <w:szCs w:val="20"/>
        </w:rPr>
        <w:t xml:space="preserve">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deve permanecer com o veículo em sua posse, não podendo cedê-lo ou aliená-lo durante todo o período deste contrato, </w:t>
      </w:r>
      <w:r>
        <w:rPr>
          <w:rFonts w:ascii="Arial" w:eastAsia="Arial" w:hAnsi="Arial" w:cs="Arial"/>
          <w:b/>
          <w:sz w:val="20"/>
          <w:szCs w:val="20"/>
        </w:rPr>
        <w:t>NO CASO DE FINANCIAMENTO DE VEÍCULO</w:t>
      </w:r>
      <w:r>
        <w:rPr>
          <w:rFonts w:ascii="Arial" w:eastAsia="Arial" w:hAnsi="Arial" w:cs="Arial"/>
          <w:sz w:val="20"/>
          <w:szCs w:val="20"/>
        </w:rPr>
        <w:t>.</w:t>
      </w:r>
    </w:p>
    <w:p w14:paraId="5F7748D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E31AF0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2.6.</w:t>
      </w:r>
      <w:r>
        <w:rPr>
          <w:rFonts w:ascii="Arial" w:eastAsia="Arial" w:hAnsi="Arial" w:cs="Arial"/>
          <w:sz w:val="20"/>
          <w:szCs w:val="20"/>
        </w:rPr>
        <w:t xml:space="preserve"> Repassar de forma correta as informações do financiamento e do respectivo veículo 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que servirão como parâmetro para o recalculo apresentado, sob pena de revisão do cálculo e a complementação de valores.</w:t>
      </w:r>
    </w:p>
    <w:p w14:paraId="53147A5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3A6D49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2.7.</w:t>
      </w:r>
      <w:r>
        <w:rPr>
          <w:rFonts w:ascii="Arial" w:eastAsia="Arial" w:hAnsi="Arial" w:cs="Arial"/>
          <w:sz w:val="20"/>
          <w:szCs w:val="20"/>
        </w:rPr>
        <w:t xml:space="preserve"> Pagar as parcelas oriundas desse contrato em dia, nos termos apresentados no Quadro Resumo.</w:t>
      </w:r>
    </w:p>
    <w:p w14:paraId="42369566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30E3D2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2.8.</w:t>
      </w:r>
      <w:r>
        <w:rPr>
          <w:rFonts w:ascii="Arial" w:eastAsia="Arial" w:hAnsi="Arial" w:cs="Arial"/>
          <w:sz w:val="20"/>
          <w:szCs w:val="20"/>
        </w:rPr>
        <w:t xml:space="preserve"> O fornecimento de toda a documentação necessária à instrução do processo, quando solicitado, no prazo de até 05 (cinco) dias, sob pena de inviabilizar a TRATATIVA QUE OBJETIVA A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quitação do contrato de financiamento pela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resultando na imediata rescisão do presente termo, por quebra contratual.</w:t>
      </w:r>
    </w:p>
    <w:p w14:paraId="144CC581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041B283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2.9.</w:t>
      </w:r>
      <w:r>
        <w:rPr>
          <w:rFonts w:ascii="Arial" w:eastAsia="Arial" w:hAnsi="Arial" w:cs="Arial"/>
          <w:sz w:val="20"/>
          <w:szCs w:val="20"/>
        </w:rPr>
        <w:t xml:space="preserve"> É de inteira responsabilidade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qualquer prejuízo advindo da apreensão de seu veículo financiado, tendo em vista que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assume riscos de qualquer que seja a natureza, a qual visa apenas assessorar e prestar consultoria financeira e recuperação de crédito e conciliação bancária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não se responsabilizando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pelos riscos advindos do atraso OU INADIMPLEMENTO no PAGAMENTO das parcelas do veículo junto a Instituição Financeira.</w:t>
      </w:r>
    </w:p>
    <w:p w14:paraId="536A44D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EDF2872" w14:textId="3BFB8DD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2.10</w:t>
      </w:r>
      <w:r>
        <w:rPr>
          <w:rFonts w:ascii="Arial" w:eastAsia="Arial" w:hAnsi="Arial" w:cs="Arial"/>
          <w:sz w:val="20"/>
          <w:szCs w:val="20"/>
        </w:rPr>
        <w:t xml:space="preserve">.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estar ciente que havendo a apreensão do seu veículo, tal fato importará imediata rescisão do presente feito por quebra contratual, sem prejuízo de aplicação de multa, em face da </w:t>
      </w:r>
      <w:r w:rsidR="00566476">
        <w:rPr>
          <w:rFonts w:ascii="Arial" w:eastAsia="Arial" w:hAnsi="Arial" w:cs="Arial"/>
          <w:sz w:val="20"/>
          <w:szCs w:val="20"/>
        </w:rPr>
        <w:t>negligência</w:t>
      </w:r>
      <w:r>
        <w:rPr>
          <w:rFonts w:ascii="Arial" w:eastAsia="Arial" w:hAnsi="Arial" w:cs="Arial"/>
          <w:sz w:val="20"/>
          <w:szCs w:val="20"/>
        </w:rPr>
        <w:t xml:space="preserve"> e/ou omissão por parte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não seguir as recomendações e orientações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421F766E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C0F2BB5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3ª – DAS OBRIGAÇÕES DA CONTRATADA</w:t>
      </w:r>
    </w:p>
    <w:p w14:paraId="7D0C9F1C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6840E5A3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3.1.</w:t>
      </w:r>
      <w:r>
        <w:rPr>
          <w:rFonts w:ascii="Arial" w:eastAsia="Arial" w:hAnsi="Arial" w:cs="Arial"/>
          <w:sz w:val="20"/>
          <w:szCs w:val="20"/>
        </w:rPr>
        <w:t xml:space="preserve"> Realizar o atendimento ao cliente sempre que necessário através de qualquer um dos canais de atendimento (presencial, e-mail e/ou telefone), observando o horário comercial.</w:t>
      </w:r>
    </w:p>
    <w:p w14:paraId="1CB690C8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2DD1815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3.2. Agir com clareza na prestação de contas, apresentando recibos de pagamento e detalhamento do serviço realizado quando solicitado</w:t>
      </w:r>
    </w:p>
    <w:p w14:paraId="16F1A5CA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F71E6C9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3.3.</w:t>
      </w:r>
      <w:r>
        <w:rPr>
          <w:rFonts w:ascii="Arial" w:eastAsia="Arial" w:hAnsi="Arial" w:cs="Arial"/>
          <w:sz w:val="20"/>
          <w:szCs w:val="20"/>
        </w:rPr>
        <w:t xml:space="preserve"> Prestar com zelo seus serviços de assessoria e consultoria financeira, recuperação de crédito e conciliação bancária, junto à instituição financeira ou às empresas de cobrança nomeadas por esta, para receber e realizar propostas de negociação de débitos, entabular acordos, receber e dar quitação, sempre visando a redução da dívida de financiamento bancário.</w:t>
      </w:r>
    </w:p>
    <w:p w14:paraId="5FAF93E5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DC9A11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3.4.</w:t>
      </w:r>
      <w:r>
        <w:rPr>
          <w:rFonts w:ascii="Arial" w:eastAsia="Arial" w:hAnsi="Arial" w:cs="Arial"/>
          <w:sz w:val="20"/>
          <w:szCs w:val="20"/>
        </w:rPr>
        <w:t xml:space="preserve"> Por mera discricionariedade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poderá eventualmente dispor de seu departamento jurídico para propor ou defender os interesses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na esfera judicial, autorizando a prestadora a encaminhar os documentos fornecidos para análise de escritórios de advocacia que atuarão com exclusividade com atividades inerentes e privativas a advocacia, visando proteger seus direitos abarcados pelo Código Civil e Código de Defesa do Consumidor, contudo, a quitação do veículo sempre se dará pela via administrativa, direto com a instituição financeira ou às empresas de cobrança outorgadas por esta.</w:t>
      </w:r>
    </w:p>
    <w:p w14:paraId="6B35D495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</w:t>
      </w:r>
    </w:p>
    <w:p w14:paraId="0B294142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3.5.</w:t>
      </w:r>
      <w:r>
        <w:rPr>
          <w:rFonts w:ascii="Arial" w:eastAsia="Arial" w:hAnsi="Arial" w:cs="Arial"/>
          <w:sz w:val="20"/>
          <w:szCs w:val="20"/>
        </w:rPr>
        <w:t xml:space="preserve"> As eventuais despesas processuais se houverem (perícias técnicas judiciais e custas), de acordo com a ocorrência da exceção descrita no parágrafo anterior, ocorrerão por conta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, junto ao escritório de advocacia.</w:t>
      </w:r>
    </w:p>
    <w:p w14:paraId="48B92E75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338222A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sz w:val="20"/>
          <w:szCs w:val="20"/>
        </w:rPr>
        <w:t>3.6.</w:t>
      </w:r>
      <w:r>
        <w:rPr>
          <w:rFonts w:ascii="Arial" w:eastAsia="Arial" w:hAnsi="Arial" w:cs="Arial"/>
          <w:sz w:val="20"/>
          <w:szCs w:val="20"/>
        </w:rPr>
        <w:t xml:space="preserve"> Para efeito de informação ao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acerca dos atos do contrato, ficam convencionados como válidos todos os meios conhecidos de comunicação, inclusive aviso telefônico, postais, mensagens de texto, dentre outros.</w:t>
      </w:r>
    </w:p>
    <w:p w14:paraId="1B8348B4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1688D1A6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4ª – DA QUITAÇÃO DO CONTRATO DE FINANCIAMENTO</w:t>
      </w:r>
    </w:p>
    <w:p w14:paraId="19DF96E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31AC442E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4.1. </w:t>
      </w:r>
      <w:r>
        <w:rPr>
          <w:rFonts w:ascii="Arial" w:eastAsia="Arial" w:hAnsi="Arial" w:cs="Arial"/>
          <w:sz w:val="20"/>
          <w:szCs w:val="20"/>
        </w:rPr>
        <w:t>O prazo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definido para o término do procedimento que visa a redução das parcelas do veículo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estando o procedimento sujeito ao binômio possibilidade e disponibilidade, sendo caracterizada a possibilidade de o cliente em efetuar o pagamento das parcelas contraídas nesse contrato, conciliando com a disponibilidade da instituição financeira em promover propostas e negociação de valores que não sejam superiores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</w:t>
      </w:r>
      <w:r>
        <w:rPr>
          <w:rFonts w:ascii="Arial" w:eastAsia="Arial" w:hAnsi="Arial" w:cs="Arial"/>
          <w:sz w:val="20"/>
          <w:szCs w:val="20"/>
        </w:rPr>
        <w:t>, sendo até o esgotamento de todas as tratativas.</w:t>
      </w:r>
    </w:p>
    <w:p w14:paraId="38C057A7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5EF6B53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4.2.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 intermediar a quitação da dívida total proveniente do contrato de financiamento de veículo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valor inferior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RESUMO,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constante neste contrato, desde que obedecidas todas as condições e obrigações impostas neste contrato.</w:t>
      </w:r>
    </w:p>
    <w:p w14:paraId="0CF517D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1A02790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5ª – DO INADIMPLEMENTO E SUSPENSÃO CONTRATUAL</w:t>
      </w:r>
    </w:p>
    <w:p w14:paraId="681A8957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D13BA20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5.1. </w:t>
      </w:r>
      <w:r>
        <w:rPr>
          <w:rFonts w:ascii="Arial" w:eastAsia="Arial" w:hAnsi="Arial" w:cs="Arial"/>
          <w:sz w:val="20"/>
          <w:szCs w:val="20"/>
        </w:rPr>
        <w:t xml:space="preserve">Em caso de inadimplemento de uma ou mais parcelas deste contrato, incidirão juros de 1% (um por cento) ao mês e multa de 2% (dois por cento), estando ciente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concordando com eventual propositura de ação de cobrança, e a inclusão do nome no SPC/SERASA. bem como demais órgãos de proteção ao crédito, protesto em cartório e ainda, honorários de cobrança no valor de 10% (dez por cento) do valor total da dívida, pela cobrança extrajudicial, e honorários advocatícios no valor de 15% (quinze por cento). do valor total da dívida. pela cobrança judicial. As despesas com tais providências correrão por conta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.</w:t>
      </w:r>
    </w:p>
    <w:p w14:paraId="58D85090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D979693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5.2.</w:t>
      </w:r>
      <w:r>
        <w:rPr>
          <w:rFonts w:ascii="Arial" w:eastAsia="Arial" w:hAnsi="Arial" w:cs="Arial"/>
          <w:sz w:val="20"/>
          <w:szCs w:val="20"/>
        </w:rPr>
        <w:t xml:space="preserve"> Caso haja o INADIMPLEMENTO por mais de 15 dias do pagamento de qualquer parcela deste contrato, automaticamente ocorrerá a suspensão dos serviços contratados, independente de notificação extrajudicial prévia, ficando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totalmente isenta de qualquer prejuízo que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porventura venha a sofrer com a suspensão do contrato advinda de seu inadimplemento.</w:t>
      </w:r>
    </w:p>
    <w:p w14:paraId="3B7885AE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9AD3CDB" w14:textId="77777777" w:rsidR="00EE3CED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6ª – DA REMUNERAÇÃO</w:t>
      </w:r>
    </w:p>
    <w:p w14:paraId="26044C77" w14:textId="77777777" w:rsidR="00EE3CED" w:rsidRDefault="00EE3CED">
      <w:pPr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A84CD4F" w14:textId="77777777" w:rsidR="00566476" w:rsidRPr="00566476" w:rsidRDefault="00566476" w:rsidP="00566476">
      <w:pPr>
        <w:pStyle w:val="SemEspaamento"/>
        <w:ind w:firstLine="851"/>
        <w:rPr>
          <w:rFonts w:ascii="Arial" w:eastAsia="Arial" w:hAnsi="Arial" w:cs="Arial"/>
          <w:sz w:val="20"/>
          <w:szCs w:val="20"/>
        </w:rPr>
      </w:pPr>
      <w:r w:rsidRPr="00566476">
        <w:rPr>
          <w:rFonts w:ascii="Arial" w:eastAsia="Arial" w:hAnsi="Arial" w:cs="Arial"/>
          <w:sz w:val="20"/>
          <w:szCs w:val="20"/>
        </w:rPr>
        <w:t>{{r clausula_6_1 }}</w:t>
      </w:r>
      <w:r w:rsidRPr="00566476">
        <w:rPr>
          <w:rFonts w:ascii="Arial" w:eastAsia="Arial" w:hAnsi="Arial" w:cs="Arial"/>
          <w:sz w:val="20"/>
          <w:szCs w:val="20"/>
        </w:rPr>
        <w:br/>
      </w:r>
      <w:r w:rsidRPr="00566476">
        <w:rPr>
          <w:rFonts w:ascii="Arial" w:eastAsia="Arial" w:hAnsi="Arial" w:cs="Arial"/>
          <w:sz w:val="20"/>
          <w:szCs w:val="20"/>
        </w:rPr>
        <w:br/>
        <w:t xml:space="preserve">               </w:t>
      </w:r>
    </w:p>
    <w:p w14:paraId="4B751F78" w14:textId="519C76C2" w:rsidR="00566476" w:rsidRPr="00C22DC1" w:rsidRDefault="00566476" w:rsidP="00566476">
      <w:pPr>
        <w:spacing w:after="0"/>
        <w:ind w:firstLine="851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 w:rsidRPr="00C22DC1">
        <w:rPr>
          <w:rFonts w:ascii="Arial" w:eastAsia="Arial" w:hAnsi="Arial" w:cs="Arial"/>
          <w:color w:val="000000" w:themeColor="text1"/>
          <w:sz w:val="20"/>
          <w:szCs w:val="20"/>
        </w:rPr>
        <w:t>{{clausula_6_2}}</w:t>
      </w:r>
    </w:p>
    <w:p w14:paraId="061A8513" w14:textId="6745113D" w:rsidR="00EE3CED" w:rsidRDefault="00EE3CED" w:rsidP="00566476">
      <w:pPr>
        <w:pStyle w:val="SemEspaamento"/>
        <w:ind w:firstLine="993"/>
        <w:rPr>
          <w:rFonts w:eastAsia="Arial"/>
          <w:b/>
          <w:bCs/>
          <w:color w:val="FF0000"/>
        </w:rPr>
      </w:pPr>
    </w:p>
    <w:p w14:paraId="426FDD3A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886E42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9EC2741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3AAB618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7ª – DA RESCISÃO</w:t>
      </w:r>
    </w:p>
    <w:p w14:paraId="47186327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DA09DFF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7.1.</w:t>
      </w:r>
      <w:r>
        <w:rPr>
          <w:rFonts w:ascii="Arial" w:eastAsia="Arial" w:hAnsi="Arial" w:cs="Arial"/>
          <w:sz w:val="20"/>
          <w:szCs w:val="20"/>
        </w:rPr>
        <w:t xml:space="preserve"> O presente contrato poderá ser rescindido por qualquer das partes, mediante aviso prévio, por escrito e aviso de recebimento, com 30 (trinta) dias de antecedência, incidindo nesse caso a proporcionalidade dos PAGAMENTOS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os quais se considerarão vencidos.</w:t>
      </w:r>
    </w:p>
    <w:p w14:paraId="65D9F668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5CEEB84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7.2.</w:t>
      </w:r>
      <w:r>
        <w:rPr>
          <w:rFonts w:ascii="Arial" w:eastAsia="Arial" w:hAnsi="Arial" w:cs="Arial"/>
          <w:sz w:val="20"/>
          <w:szCs w:val="20"/>
        </w:rPr>
        <w:t xml:space="preserve"> O DESCUMPRIMENTO pelo (e)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>de qualquer de suas obrigações contidas no ITEM 2 deste contrato, importará na rescisão do presente termo.</w:t>
      </w:r>
    </w:p>
    <w:p w14:paraId="1E2E0AD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7626C2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7.3. </w:t>
      </w:r>
      <w:r>
        <w:rPr>
          <w:rFonts w:ascii="Arial" w:eastAsia="Arial" w:hAnsi="Arial" w:cs="Arial"/>
          <w:sz w:val="20"/>
          <w:szCs w:val="20"/>
        </w:rPr>
        <w:t xml:space="preserve">O atraso superior a 30 (trinta) dias de qualquer parcela deste contrato, acarretará </w:t>
      </w:r>
      <w:proofErr w:type="gramStart"/>
      <w:r>
        <w:rPr>
          <w:rFonts w:ascii="Arial" w:eastAsia="Arial" w:hAnsi="Arial" w:cs="Arial"/>
          <w:sz w:val="20"/>
          <w:szCs w:val="20"/>
        </w:rPr>
        <w:t>na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rescisão contratual, independente de notificação extrajudicial prévia, situação em que será aplicada multa por rescisão contratual no importe de 5% (cinco por cento) sobre o valor total DA DÍVIDA DO PRESENTE CONTRATO, item </w:t>
      </w:r>
      <w:r>
        <w:rPr>
          <w:rFonts w:ascii="Arial" w:eastAsia="Arial" w:hAnsi="Arial" w:cs="Arial"/>
          <w:b/>
          <w:sz w:val="20"/>
          <w:szCs w:val="20"/>
        </w:rPr>
        <w:t>3.1</w:t>
      </w:r>
      <w:r>
        <w:rPr>
          <w:rFonts w:ascii="Arial" w:eastAsia="Arial" w:hAnsi="Arial" w:cs="Arial"/>
          <w:sz w:val="20"/>
          <w:szCs w:val="20"/>
        </w:rPr>
        <w:t xml:space="preserve">. constante do </w:t>
      </w:r>
      <w:r>
        <w:rPr>
          <w:rFonts w:ascii="Arial" w:eastAsia="Arial" w:hAnsi="Arial" w:cs="Arial"/>
          <w:b/>
          <w:sz w:val="20"/>
          <w:szCs w:val="20"/>
          <w:u w:val="single"/>
        </w:rPr>
        <w:t>Quadro Resumo</w:t>
      </w:r>
      <w:r>
        <w:rPr>
          <w:rFonts w:ascii="Arial" w:eastAsia="Arial" w:hAnsi="Arial" w:cs="Arial"/>
          <w:sz w:val="20"/>
          <w:szCs w:val="20"/>
        </w:rPr>
        <w:t xml:space="preserve"> deste contrato, qualquer ato em sentido contrário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será por mera liberalidade.</w:t>
      </w:r>
    </w:p>
    <w:p w14:paraId="45DC587B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13B3CA1" w14:textId="10B0EBAE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7.4. </w:t>
      </w:r>
      <w:r>
        <w:rPr>
          <w:rFonts w:ascii="Arial" w:eastAsia="Arial" w:hAnsi="Arial" w:cs="Arial"/>
          <w:sz w:val="20"/>
          <w:szCs w:val="20"/>
        </w:rPr>
        <w:t xml:space="preserve">Se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solicitar a rescisão contratual em até 30 dias após assinatura do presente contrato, não será aplicada a multa constante no item 7.3, ficando o mesmo obrigado a pagar apenas a Taxa de Rescisão no valor de </w:t>
      </w:r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taxa_rescisao</w:t>
      </w:r>
      <w:proofErr w:type="spellEnd"/>
      <w:proofErr w:type="gramStart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}}(</w:t>
      </w:r>
      <w:proofErr w:type="gramEnd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taxa_rescisao_extenso</w:t>
      </w:r>
      <w:proofErr w:type="spellEnd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 xml:space="preserve">}}), </w:t>
      </w:r>
      <w:r>
        <w:rPr>
          <w:rFonts w:ascii="Arial" w:eastAsia="Arial" w:hAnsi="Arial" w:cs="Arial"/>
          <w:sz w:val="20"/>
          <w:szCs w:val="20"/>
        </w:rPr>
        <w:t>que servirá para arcar com as taxas bancárias de emissão e cancelamento de boletos, bem como demais despesas com a comissão de funcionários.</w:t>
      </w:r>
    </w:p>
    <w:p w14:paraId="4891AD14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7A9A1C6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7.5.</w:t>
      </w:r>
      <w:r>
        <w:rPr>
          <w:rFonts w:ascii="Arial" w:eastAsia="Arial" w:hAnsi="Arial" w:cs="Arial"/>
          <w:sz w:val="20"/>
          <w:szCs w:val="20"/>
        </w:rPr>
        <w:t xml:space="preserve"> O não pagamento desta taxa de Rescisão incorrerá em protesto e na inclusão do nome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nos Órgãos de Proteção ao Crédito.</w:t>
      </w:r>
    </w:p>
    <w:p w14:paraId="61AFE3AC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3BE26E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7.6.</w:t>
      </w:r>
      <w:r>
        <w:rPr>
          <w:rFonts w:ascii="Arial" w:eastAsia="Arial" w:hAnsi="Arial" w:cs="Arial"/>
          <w:sz w:val="20"/>
          <w:szCs w:val="20"/>
        </w:rPr>
        <w:t xml:space="preserve"> Se houver mudança na política de negociação das Instituições Financeiras que ofertem crédito para financiamento de veículos a ponto de inviabilizar o resultando almejado pelas partes deste contrato,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aceitam e estipulam desde já a rescisão do presente termo, sendo que os custos iniciais administrativos não serão ressarcidos, visto que, possuem valor compensatório referente à prestação de serviços realizados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, ainda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renunciam desde já a qualquer possível direito que entendam ser-lhes inerentes; seja de cunho moral, material ou de Lucros cessantes, advindos da rescisão estipulada neste item, tendo em vista que essa rescisão se dá por motivo alheio à vontade de ambas as partes.</w:t>
      </w:r>
    </w:p>
    <w:p w14:paraId="20E781ED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C702D4C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8ª – DAS CONDIÇÕES GERAIS</w:t>
      </w:r>
    </w:p>
    <w:p w14:paraId="2686B26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876BB37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8.1. </w:t>
      </w:r>
      <w:r>
        <w:rPr>
          <w:rFonts w:ascii="Arial" w:eastAsia="Arial" w:hAnsi="Arial" w:cs="Arial"/>
          <w:sz w:val="20"/>
          <w:szCs w:val="20"/>
        </w:rPr>
        <w:t>O presente termo constitui-se em Título Executivo Extrajudicial.</w:t>
      </w:r>
    </w:p>
    <w:p w14:paraId="1DF8DD63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F51DF7A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8.2. </w:t>
      </w:r>
      <w:r>
        <w:rPr>
          <w:rFonts w:ascii="Arial" w:eastAsia="Arial" w:hAnsi="Arial" w:cs="Arial"/>
          <w:sz w:val="20"/>
          <w:szCs w:val="20"/>
        </w:rPr>
        <w:t xml:space="preserve">Qualquer liberalidade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considerada novação e nem implicará em renúncia dos direitos descritos.</w:t>
      </w:r>
    </w:p>
    <w:p w14:paraId="32F73439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09B2D92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8.3. </w:t>
      </w:r>
      <w:r>
        <w:rPr>
          <w:rFonts w:ascii="Arial" w:eastAsia="Arial" w:hAnsi="Arial" w:cs="Arial"/>
          <w:sz w:val="20"/>
          <w:szCs w:val="20"/>
        </w:rPr>
        <w:t xml:space="preserve">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ter lido e entendido todas as cláusulas e condições expressas neste documento antes de assiná-lo.</w:t>
      </w:r>
    </w:p>
    <w:p w14:paraId="6C30231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DBEF62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8.4. </w:t>
      </w:r>
      <w:r>
        <w:rPr>
          <w:rFonts w:ascii="Arial" w:eastAsia="Arial" w:hAnsi="Arial" w:cs="Arial"/>
          <w:sz w:val="20"/>
          <w:szCs w:val="20"/>
        </w:rPr>
        <w:t xml:space="preserve">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responsabilizada, no caso de inadimplemento por parte do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em acordos celebrados por intermédio desta, junto a instituição financeira e ou prepostos, devendo neste caso, se celebrado um novo contrato junto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71F63D69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E9EE008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8.5. </w:t>
      </w:r>
      <w:r>
        <w:rPr>
          <w:rFonts w:ascii="Arial" w:eastAsia="Arial" w:hAnsi="Arial" w:cs="Arial"/>
          <w:sz w:val="20"/>
          <w:szCs w:val="20"/>
        </w:rPr>
        <w:t xml:space="preserve">E por estarem assim, justas e convencionadas. as PARTES firmam o presente contrato de prestação de serviços em 02 (duas) vias de igual forma e teor, para um só efeito, na presença das testemunhas abaixo, poderá ser assinado eletronicamente e digitalmente o documento, conforme previsto na </w:t>
      </w:r>
      <w:hyperlink r:id="rId9" w:tooltip="http://legislacao.planalto.gov.br/legisla/legislacao.nsf/Viw_Identificacao/lei%2014.063-2020?OpenDocument" w:history="1">
        <w:r w:rsidR="00EE3CED">
          <w:rPr>
            <w:rFonts w:ascii="Arial" w:eastAsia="Arial" w:hAnsi="Arial" w:cs="Arial"/>
            <w:smallCaps/>
            <w:color w:val="000000"/>
            <w:sz w:val="20"/>
            <w:szCs w:val="20"/>
          </w:rPr>
          <w:t>L</w:t>
        </w:r>
      </w:hyperlink>
      <w:hyperlink r:id="rId10" w:tooltip="http://legislacao.planalto.gov.br/legisla/legislacao.nsf/Viw_Identificacao/lei%2014.063-2020?OpenDocument" w:history="1">
        <w:r w:rsidR="00EE3CED">
          <w:rPr>
            <w:rFonts w:ascii="Arial" w:eastAsia="Arial" w:hAnsi="Arial" w:cs="Arial"/>
            <w:color w:val="000000"/>
            <w:sz w:val="20"/>
            <w:szCs w:val="20"/>
          </w:rPr>
          <w:t>ei nº 14.063, de 23 de setembro de 2020</w:t>
        </w:r>
      </w:hyperlink>
      <w:r>
        <w:rPr>
          <w:sz w:val="20"/>
          <w:szCs w:val="20"/>
        </w:rPr>
        <w:t xml:space="preserve">, sendo </w:t>
      </w:r>
      <w:r>
        <w:rPr>
          <w:rFonts w:ascii="Arial" w:eastAsia="Arial" w:hAnsi="Arial" w:cs="Arial"/>
          <w:sz w:val="20"/>
          <w:szCs w:val="20"/>
        </w:rPr>
        <w:t xml:space="preserve">garantido autenticidade, integralidade e validade jurídica de documentos. </w:t>
      </w:r>
    </w:p>
    <w:p w14:paraId="00054231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4C8F684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CA5FFF2" w14:textId="77777777" w:rsidR="00EE3CED" w:rsidRDefault="00EE3CED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6CAD3DFF" w14:textId="6C733A95" w:rsidR="00566476" w:rsidRPr="00FB5CAC" w:rsidRDefault="00566476" w:rsidP="00566476">
      <w:pPr>
        <w:spacing w:after="0"/>
        <w:jc w:val="center"/>
        <w:rPr>
          <w:rFonts w:ascii="Arial" w:eastAsia="Arial" w:hAnsi="Arial" w:cs="Arial"/>
          <w:color w:val="000000" w:themeColor="text1"/>
          <w:sz w:val="22"/>
          <w:szCs w:val="22"/>
        </w:rPr>
      </w:pPr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{{</w:t>
      </w:r>
      <w:proofErr w:type="spellStart"/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local_data</w:t>
      </w:r>
      <w:proofErr w:type="spellEnd"/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}}</w:t>
      </w:r>
    </w:p>
    <w:p w14:paraId="0018DE1F" w14:textId="4D30513A" w:rsidR="00EE3CED" w:rsidRDefault="00000000" w:rsidP="00566476">
      <w:pPr>
        <w:tabs>
          <w:tab w:val="center" w:pos="1418"/>
        </w:tabs>
        <w:spacing w:after="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/>
      </w:r>
    </w:p>
    <w:p w14:paraId="550DF8BE" w14:textId="77777777" w:rsidR="00EE3CED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___________________________________________</w:t>
      </w:r>
    </w:p>
    <w:p w14:paraId="140C74AF" w14:textId="77777777" w:rsidR="00EE3CED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highlight w:val="white"/>
        </w:rPr>
        <w:t>BLINDSAFE SOLUCOES FINANCEIRAS LTDA</w:t>
      </w:r>
      <w:r>
        <w:rPr>
          <w:rFonts w:ascii="Tahoma" w:eastAsia="Tahoma" w:hAnsi="Tahoma" w:cs="Tahoma"/>
          <w:sz w:val="22"/>
          <w:szCs w:val="22"/>
        </w:rPr>
        <w:br/>
      </w:r>
    </w:p>
    <w:p w14:paraId="3CE50EA7" w14:textId="77777777" w:rsidR="00EE3CED" w:rsidRDefault="00EE3CED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</w:p>
    <w:p w14:paraId="3A6FF589" w14:textId="2476B216" w:rsidR="00EE3CED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br/>
        <w:t>____________________________________________</w:t>
      </w:r>
      <w:r>
        <w:rPr>
          <w:rFonts w:ascii="Tahoma" w:eastAsia="Tahoma" w:hAnsi="Tahoma" w:cs="Tahoma"/>
          <w:sz w:val="22"/>
          <w:szCs w:val="22"/>
        </w:rPr>
        <w:br/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 w:rsidR="00566476" w:rsidRPr="00FB5CAC">
        <w:rPr>
          <w:rFonts w:ascii="Tahoma" w:eastAsia="Arial" w:hAnsi="Tahoma" w:cs="Tahoma"/>
          <w:b/>
          <w:color w:val="000000" w:themeColor="text1"/>
          <w:sz w:val="22"/>
          <w:szCs w:val="22"/>
        </w:rPr>
        <w:t>{{nome}}</w:t>
      </w:r>
      <w:r>
        <w:rPr>
          <w:rFonts w:ascii="Tahoma" w:eastAsia="Tahoma" w:hAnsi="Tahoma" w:cs="Tahoma"/>
          <w:sz w:val="22"/>
          <w:szCs w:val="22"/>
        </w:rPr>
        <w:br/>
      </w:r>
    </w:p>
    <w:p w14:paraId="5AECD0CF" w14:textId="6E943F8A" w:rsidR="00EE3CED" w:rsidRDefault="00EE3CED" w:rsidP="00566476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</w:p>
    <w:p w14:paraId="645153BA" w14:textId="77777777" w:rsidR="00105C1D" w:rsidRDefault="00105C1D" w:rsidP="00566476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</w:p>
    <w:p w14:paraId="4230CEC7" w14:textId="77777777" w:rsidR="00105C1D" w:rsidRDefault="00105C1D" w:rsidP="00566476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</w:p>
    <w:p w14:paraId="02B2D652" w14:textId="77777777" w:rsidR="00105C1D" w:rsidRDefault="00105C1D" w:rsidP="00566476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</w:p>
    <w:p w14:paraId="76D68BC2" w14:textId="77777777" w:rsidR="00105C1D" w:rsidRDefault="00105C1D" w:rsidP="00566476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</w:p>
    <w:p w14:paraId="1D5092DD" w14:textId="77777777" w:rsidR="00105C1D" w:rsidRPr="00566476" w:rsidRDefault="00105C1D" w:rsidP="00566476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</w:p>
    <w:p w14:paraId="4A13801F" w14:textId="77777777" w:rsidR="00EE3CED" w:rsidRDefault="00EE3CED">
      <w:pPr>
        <w:spacing w:after="0" w:line="360" w:lineRule="auto"/>
        <w:ind w:firstLine="851"/>
        <w:rPr>
          <w:rFonts w:ascii="Tahoma" w:eastAsia="Tahoma" w:hAnsi="Tahoma" w:cs="Tahoma"/>
          <w:b/>
          <w:sz w:val="22"/>
          <w:szCs w:val="22"/>
        </w:rPr>
      </w:pPr>
    </w:p>
    <w:p w14:paraId="692706D1" w14:textId="77777777" w:rsidR="00EE3CED" w:rsidRDefault="00000000">
      <w:pPr>
        <w:spacing w:after="0" w:line="360" w:lineRule="auto"/>
        <w:rPr>
          <w:rFonts w:ascii="Tahoma" w:eastAsia="Tahoma" w:hAnsi="Tahoma" w:cs="Tahoma"/>
          <w:b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</w:rPr>
        <w:t>1ª Testemunha</w:t>
      </w:r>
    </w:p>
    <w:p w14:paraId="193D6CCD" w14:textId="77777777" w:rsidR="00EE3CED" w:rsidRDefault="00EE3CED">
      <w:pPr>
        <w:spacing w:after="0" w:line="360" w:lineRule="auto"/>
        <w:rPr>
          <w:rFonts w:ascii="Tahoma" w:eastAsia="Tahoma" w:hAnsi="Tahoma" w:cs="Tahoma"/>
          <w:b/>
          <w:sz w:val="22"/>
          <w:szCs w:val="22"/>
        </w:rPr>
      </w:pPr>
    </w:p>
    <w:p w14:paraId="6483A506" w14:textId="77777777" w:rsidR="00EE3CED" w:rsidRDefault="00EE3CED">
      <w:pPr>
        <w:spacing w:after="0" w:line="360" w:lineRule="auto"/>
        <w:rPr>
          <w:rFonts w:ascii="Tahoma" w:eastAsia="Tahoma" w:hAnsi="Tahoma" w:cs="Tahoma"/>
          <w:b/>
          <w:sz w:val="22"/>
          <w:szCs w:val="22"/>
        </w:rPr>
      </w:pPr>
    </w:p>
    <w:p w14:paraId="295ECBFF" w14:textId="77777777" w:rsidR="00EE3CED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  <w:r>
        <w:rPr>
          <w:rFonts w:ascii="Tahoma" w:eastAsia="Tahoma" w:hAnsi="Tahoma" w:cs="Tahoma"/>
          <w:sz w:val="22"/>
          <w:szCs w:val="22"/>
        </w:rPr>
        <w:br/>
      </w:r>
    </w:p>
    <w:p w14:paraId="34C4AFEF" w14:textId="77777777" w:rsidR="00EE3CED" w:rsidRDefault="00EE3CED">
      <w:pPr>
        <w:spacing w:after="0" w:line="360" w:lineRule="auto"/>
        <w:ind w:firstLine="851"/>
        <w:rPr>
          <w:rFonts w:ascii="Tahoma" w:eastAsia="Tahoma" w:hAnsi="Tahoma" w:cs="Tahoma"/>
          <w:sz w:val="22"/>
          <w:szCs w:val="22"/>
        </w:rPr>
      </w:pPr>
    </w:p>
    <w:p w14:paraId="789E236F" w14:textId="77777777" w:rsidR="00EE3CED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</w:rPr>
        <w:t>2ª Testemunha</w:t>
      </w:r>
      <w:r>
        <w:rPr>
          <w:rFonts w:ascii="Tahoma" w:eastAsia="Tahoma" w:hAnsi="Tahoma" w:cs="Tahoma"/>
          <w:sz w:val="22"/>
          <w:szCs w:val="22"/>
        </w:rPr>
        <w:br/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</w:p>
    <w:sectPr w:rsidR="00EE3CED">
      <w:headerReference w:type="default" r:id="rId11"/>
      <w:footerReference w:type="default" r:id="rId12"/>
      <w:pgSz w:w="12240" w:h="15840"/>
      <w:pgMar w:top="1440" w:right="1467" w:bottom="1440" w:left="1800" w:header="142" w:footer="454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23C74" w14:textId="77777777" w:rsidR="006D69BB" w:rsidRDefault="006D69BB">
      <w:pPr>
        <w:spacing w:after="0" w:line="240" w:lineRule="auto"/>
      </w:pPr>
      <w:r>
        <w:separator/>
      </w:r>
    </w:p>
  </w:endnote>
  <w:endnote w:type="continuationSeparator" w:id="0">
    <w:p w14:paraId="72494695" w14:textId="77777777" w:rsidR="006D69BB" w:rsidRDefault="006D69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ltra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D9AF" w14:textId="77777777" w:rsidR="00EE3CED" w:rsidRDefault="00EE3CED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1F497D"/>
        <w:shd w:val="clear" w:color="auto" w:fill="F7F7F7"/>
      </w:rPr>
    </w:pPr>
  </w:p>
  <w:p w14:paraId="590BF78C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color w:val="1F497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56D99C3" wp14:editId="28B07C72">
              <wp:simplePos x="0" y="0"/>
              <wp:positionH relativeFrom="column">
                <wp:posOffset>-1142999</wp:posOffset>
              </wp:positionH>
              <wp:positionV relativeFrom="paragraph">
                <wp:posOffset>-215899</wp:posOffset>
              </wp:positionV>
              <wp:extent cx="7771130" cy="933450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1469960" y="3322800"/>
                        <a:ext cx="7752080" cy="914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39968" h="161368" extrusionOk="0">
                            <a:moveTo>
                              <a:pt x="0" y="0"/>
                            </a:moveTo>
                            <a:lnTo>
                              <a:pt x="2739968" y="0"/>
                            </a:lnTo>
                            <a:lnTo>
                              <a:pt x="2739968" y="161368"/>
                            </a:lnTo>
                            <a:lnTo>
                              <a:pt x="0" y="161368"/>
                            </a:lnTo>
                            <a:close/>
                          </a:path>
                        </a:pathLst>
                      </a:custGeom>
                      <a:solidFill>
                        <a:srgbClr val="17365D"/>
                      </a:solidFill>
                      <a:ln w="9525" cap="flat" cmpd="sng">
                        <a:solidFill>
                          <a:srgbClr val="DAE5F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5A2FA82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 xml:space="preserve">Estrada do Pau Ferro nº 480, Bloco 1, Sala 220, </w:t>
                          </w:r>
                        </w:p>
                        <w:p w14:paraId="2870FF95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Jacarepaguá, Rio de Janeiro/RJ, CEP:22.743-051</w:t>
                          </w:r>
                        </w:p>
                        <w:p w14:paraId="1209AD01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proofErr w:type="spellStart"/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Tel</w:t>
                          </w:r>
                          <w:proofErr w:type="spellEnd"/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: (21) 96944-0754 | blindsafe.sf@gmail.com</w:t>
                          </w:r>
                        </w:p>
                        <w:p w14:paraId="183EC9D8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  <w:u w:val="single"/>
                            </w:rPr>
                            <w:t>www.blindsafe.com.br</w:t>
                          </w: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</w:rPr>
                            <w:t xml:space="preserve"> </w:t>
                          </w:r>
                        </w:p>
                        <w:p w14:paraId="3BD22C13" w14:textId="77777777" w:rsidR="00EE3CED" w:rsidRDefault="00EE3CED">
                          <w:pPr>
                            <w:spacing w:after="0" w:line="240" w:lineRule="auto"/>
                            <w:ind w:left="1440" w:right="624" w:firstLine="2880"/>
                            <w:jc w:val="both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6D99C3" id="Forma Livre: Forma 2" o:spid="_x0000_s1026" style="position:absolute;left:0;text-align:left;margin-left:-90pt;margin-top:-17pt;width:611.9pt;height:73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9968,16136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" adj="-11796480,,5400" path="m,l2739968,r,161368l,161368,,xe" fillcolor="#17365d" strokecolor="#dae5f1">
              <v:stroke startarrowwidth="narrow" startarrowlength="short" endarrowwidth="narrow" endarrowlength="short" joinstyle="round"/>
              <v:formulas/>
              <v:path arrowok="t" o:extrusionok="f" o:connecttype="custom" textboxrect="0,0,2739968,161368"/>
              <v:textbox inset="2.53958mm,1.2694mm,2.53958mm,1.2694mm">
                <w:txbxContent>
                  <w:p w14:paraId="15A2FA82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 xml:space="preserve">Estrada do Pau Ferro nº 480, Bloco 1, Sala 220, </w:t>
                    </w:r>
                  </w:p>
                  <w:p w14:paraId="2870FF95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Jacarepaguá, Rio de Janeiro/RJ, CEP:22.743-051</w:t>
                    </w:r>
                  </w:p>
                  <w:p w14:paraId="1209AD01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proofErr w:type="spellStart"/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Tel</w:t>
                    </w:r>
                    <w:proofErr w:type="spellEnd"/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: (21) 96944-0754 | blindsafe.sf@gmail.com</w:t>
                    </w:r>
                  </w:p>
                  <w:p w14:paraId="183EC9D8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  <w:u w:val="single"/>
                      </w:rPr>
                      <w:t>www.blindsafe.com.br</w:t>
                    </w: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</w:rPr>
                      <w:t xml:space="preserve"> </w:t>
                    </w:r>
                  </w:p>
                  <w:p w14:paraId="3BD22C13" w14:textId="77777777" w:rsidR="00EE3CED" w:rsidRDefault="00EE3CED">
                    <w:pPr>
                      <w:spacing w:after="0" w:line="240" w:lineRule="auto"/>
                      <w:ind w:left="1440" w:right="624" w:firstLine="2880"/>
                      <w:jc w:val="both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0BCE7" w14:textId="77777777" w:rsidR="006D69BB" w:rsidRDefault="006D69BB">
      <w:pPr>
        <w:spacing w:after="0" w:line="240" w:lineRule="auto"/>
      </w:pPr>
      <w:r>
        <w:separator/>
      </w:r>
    </w:p>
  </w:footnote>
  <w:footnote w:type="continuationSeparator" w:id="0">
    <w:p w14:paraId="1554695C" w14:textId="77777777" w:rsidR="006D69BB" w:rsidRDefault="006D69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8C3BA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color w:val="000000"/>
      </w:rPr>
      <mc:AlternateContent>
        <mc:Choice Requires="wpg">
          <w:drawing>
            <wp:inline distT="0" distB="0" distL="0" distR="0" wp14:anchorId="70D74884" wp14:editId="0E05F3FB">
              <wp:extent cx="1301580" cy="1017221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</pic:nvPicPr>
                    <pic:blipFill rotWithShape="1">
                      <a:blip r:embed="rId1"/>
                      <a:srcRect l="7971" t="15217" r="10430" b="21010"/>
                      <a:stretch/>
                    </pic:blipFill>
                    <pic:spPr bwMode="auto">
                      <a:xfrm>
                        <a:off x="0" y="0"/>
                        <a:ext cx="1301580" cy="101722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02.49pt;height:80.10pt;mso-wrap-distance-left:0.00pt;mso-wrap-distance-top:0.00pt;mso-wrap-distance-right:0.00pt;mso-wrap-distance-bottom:0.00pt;z-index:1;">
              <v:imagedata r:id="rId2" o:title="" croptop="9973f" cropleft="5224f" cropbottom="13769f" cropright="6835f"/>
              <o:lock v:ext="edit" rotation="t"/>
            </v:shape>
          </w:pict>
        </mc:Fallback>
      </mc:AlternateContent>
    </w:r>
  </w:p>
  <w:p w14:paraId="047967BA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939C8"/>
    <w:multiLevelType w:val="multilevel"/>
    <w:tmpl w:val="DF92816E"/>
    <w:lvl w:ilvl="0">
      <w:start w:val="1"/>
      <w:numFmt w:val="lowerLetter"/>
      <w:pStyle w:val="Commarcadores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6223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CED"/>
    <w:rsid w:val="00105C1D"/>
    <w:rsid w:val="004C31CE"/>
    <w:rsid w:val="00566476"/>
    <w:rsid w:val="00675B66"/>
    <w:rsid w:val="006D69BB"/>
    <w:rsid w:val="00760A61"/>
    <w:rsid w:val="008118D9"/>
    <w:rsid w:val="00AB08F9"/>
    <w:rsid w:val="00BC58A0"/>
    <w:rsid w:val="00EE3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81A653"/>
  <w15:docId w15:val="{DC124F79-0516-4AAC-B206-D39B7CEF3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1"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1"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1"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1"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1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1"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1">
    <w:name w:val="Título 3 Char1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1">
    <w:name w:val="Título 4 Char1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1">
    <w:name w:val="Título 5 Char1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1">
    <w:name w:val="Título 6 Char1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1">
    <w:name w:val="Título Char1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1">
    <w:name w:val="Subtítulo Char1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har1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Pr>
      <w:rFonts w:asciiTheme="majorHAnsi" w:eastAsiaTheme="majorEastAsia" w:hAnsiTheme="majorHAnsi" w:cstheme="majorBidi"/>
      <w:b/>
      <w:bCs/>
      <w:color w:val="000000" w:themeColor="accent1" w:themeShade="00"/>
      <w:sz w:val="28"/>
      <w:szCs w:val="28"/>
    </w:rPr>
  </w:style>
  <w:style w:type="character" w:customStyle="1" w:styleId="Ttulo2Char">
    <w:name w:val="Título 2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Pr>
      <w:rFonts w:asciiTheme="majorHAnsi" w:eastAsiaTheme="majorEastAsia" w:hAnsiTheme="majorHAnsi" w:cstheme="majorBidi"/>
      <w:color w:val="000000" w:themeColor="text2" w:themeShade="00"/>
      <w:spacing w:val="5"/>
      <w:sz w:val="52"/>
      <w:szCs w:val="52"/>
    </w:rPr>
  </w:style>
  <w:style w:type="character" w:customStyle="1" w:styleId="SubttuloChar">
    <w:name w:val="Subtítulo Char"/>
    <w:basedOn w:val="Fontepargpadr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contextualSpacing/>
    </w:pPr>
  </w:style>
  <w:style w:type="paragraph" w:styleId="Commarcadores3">
    <w:name w:val="List Bullet 3"/>
    <w:basedOn w:val="Normal"/>
    <w:uiPriority w:val="99"/>
    <w:unhideWhenUsed/>
    <w:pPr>
      <w:contextualSpacing/>
    </w:pPr>
  </w:style>
  <w:style w:type="paragraph" w:styleId="Numerada">
    <w:name w:val="List Number"/>
    <w:basedOn w:val="Normal"/>
    <w:uiPriority w:val="99"/>
    <w:unhideWhenUsed/>
    <w:pPr>
      <w:contextualSpacing/>
    </w:pPr>
  </w:style>
  <w:style w:type="paragraph" w:styleId="Numerada2">
    <w:name w:val="List Number 2"/>
    <w:basedOn w:val="Normal"/>
    <w:uiPriority w:val="99"/>
    <w:unhideWhenUsed/>
    <w:pPr>
      <w:contextualSpacing/>
    </w:pPr>
  </w:style>
  <w:style w:type="paragraph" w:styleId="Numerada3">
    <w:name w:val="List Number 3"/>
    <w:basedOn w:val="Normal"/>
    <w:uiPriority w:val="99"/>
    <w:unhideWhenUsed/>
    <w:p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Pr>
      <w:rFonts w:asciiTheme="majorHAnsi" w:eastAsiaTheme="majorEastAsia" w:hAnsiTheme="majorHAnsi" w:cstheme="majorBidi"/>
      <w:color w:val="000000" w:themeColor="accent1" w:themeShade="00"/>
    </w:rPr>
  </w:style>
  <w:style w:type="character" w:customStyle="1" w:styleId="Ttulo6Char">
    <w:name w:val="Título 6 Char"/>
    <w:basedOn w:val="Fontepargpadro"/>
    <w:uiPriority w:val="9"/>
    <w:semiHidden/>
    <w:rPr>
      <w:rFonts w:asciiTheme="majorHAnsi" w:eastAsiaTheme="majorEastAsia" w:hAnsiTheme="majorHAnsi" w:cstheme="majorBidi"/>
      <w:i/>
      <w:iCs/>
      <w:color w:val="000000" w:themeColor="accent1" w:themeShade="00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FFFFFF" w:themeColor="text1" w:themeTint="00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000000" w:themeColor="accent1" w:themeShade="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000000" w:themeColor="accent2" w:themeShade="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000000" w:themeColor="accent3" w:themeShade="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000000" w:themeColor="accent4" w:themeShade="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000000" w:themeColor="accent5" w:themeShade="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000000" w:themeColor="accent6" w:themeShade="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000000" w:themeColor="tex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000000" w:themeColor="tex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F81BD" w:themeColor="accen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F81BD" w:themeColor="accen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C0504D" w:themeColor="accent2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9BBB59" w:themeColor="accent3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8064A2" w:themeColor="accent4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BACC6" w:themeColor="accent5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F79646" w:themeColor="accent6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  <w:insideV w:val="single" w:sz="8" w:space="0" w:color="FFFFFF" w:themeColor="text1" w:themeTint="00"/>
      </w:tblBorders>
    </w:tblPr>
    <w:tcPr>
      <w:shd w:val="clear" w:color="auto" w:fill="FFFFFF" w:themeFill="tex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  <w:insideV w:val="single" w:sz="8" w:space="0" w:color="FFFFFF" w:themeColor="accent1" w:themeTint="00"/>
      </w:tblBorders>
    </w:tblPr>
    <w:tcPr>
      <w:shd w:val="clear" w:color="auto" w:fill="FFFFFF" w:themeFill="accen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  <w:insideV w:val="single" w:sz="8" w:space="0" w:color="FFFFFF" w:themeColor="accent2" w:themeTint="00"/>
      </w:tblBorders>
    </w:tblPr>
    <w:tcPr>
      <w:shd w:val="clear" w:color="auto" w:fill="FFFFFF" w:themeFill="accent2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  <w:insideV w:val="single" w:sz="8" w:space="0" w:color="FFFFFF" w:themeColor="accent3" w:themeTint="00"/>
      </w:tblBorders>
    </w:tblPr>
    <w:tcPr>
      <w:shd w:val="clear" w:color="auto" w:fill="FFFFFF" w:themeFill="accent3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  <w:insideV w:val="single" w:sz="8" w:space="0" w:color="FFFFFF" w:themeColor="accent4" w:themeTint="00"/>
      </w:tblBorders>
    </w:tblPr>
    <w:tcPr>
      <w:shd w:val="clear" w:color="auto" w:fill="FFFFFF" w:themeFill="accent4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  <w:insideV w:val="single" w:sz="8" w:space="0" w:color="FFFFFF" w:themeColor="accent5" w:themeTint="00"/>
      </w:tblBorders>
    </w:tblPr>
    <w:tcPr>
      <w:shd w:val="clear" w:color="auto" w:fill="FFFFFF" w:themeFill="accent5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  <w:insideV w:val="single" w:sz="8" w:space="0" w:color="FFFFFF" w:themeColor="accent6" w:themeTint="00"/>
      </w:tblBorders>
    </w:tblPr>
    <w:tcPr>
      <w:shd w:val="clear" w:color="auto" w:fill="FFFFFF" w:themeFill="accent6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 w:themeFill="tex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 w:themeFill="accen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 w:themeFill="accent2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 w:themeFill="accent3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 w:themeFill="accent4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 w:themeFill="accent5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 w:themeFill="accent6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tex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2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3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4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5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6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2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3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4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5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6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tex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2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3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4" w:themeFillShade="00"/>
      </w:tcPr>
    </w:tblStylePr>
    <w:tblStylePr w:type="lastRow">
      <w:rPr>
        <w:b/>
        <w:bCs/>
        <w:color w:val="000000" w:themeColor="accent4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4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3" w:themeFillShade="00"/>
      </w:tcPr>
    </w:tblStylePr>
    <w:tblStylePr w:type="lastRow">
      <w:rPr>
        <w:b/>
        <w:bCs/>
        <w:color w:val="000000" w:themeColor="accent3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5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6" w:themeFillShade="00"/>
      </w:tcPr>
    </w:tblStylePr>
    <w:tblStylePr w:type="lastRow">
      <w:rPr>
        <w:b/>
        <w:bCs/>
        <w:color w:val="000000" w:themeColor="accent6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6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5" w:themeFillShade="00"/>
      </w:tcPr>
    </w:tblStylePr>
    <w:tblStylePr w:type="lastRow">
      <w:rPr>
        <w:b/>
        <w:bCs/>
        <w:color w:val="000000" w:themeColor="accent5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har1"/>
    <w:rPr>
      <w:rFonts w:ascii="Calibri" w:eastAsia="Calibri" w:hAnsi="Calibri" w:cs="Calibri"/>
      <w:i/>
      <w:color w:val="4F81BD"/>
    </w:rPr>
  </w:style>
  <w:style w:type="table" w:customStyle="1" w:styleId="StGen2">
    <w:name w:val="StGen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StGen3">
    <w:name w:val="StGen3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lindsafe.sf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legislacao.planalto.gov.br/legisla/legislacao.nsf/Viw_Identificacao/lei%2014.063-2020?OpenDocu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egislacao.planalto.gov.br/legisla/legislacao.nsf/Viw_Identificacao/lei%2014.063-2020?OpenDocument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7igFskAQRI5h9xQnZYJQ+fsbA==">CgMxLjA4AHIhMXZuV0pVN1JNQUZObkwyeDlVeGYzREhHZFlOcUc5eGRf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2106</Words>
  <Characters>11373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Paulo Ricardo</cp:lastModifiedBy>
  <cp:revision>3</cp:revision>
  <dcterms:created xsi:type="dcterms:W3CDTF">2026-04-24T14:22:00Z</dcterms:created>
  <dcterms:modified xsi:type="dcterms:W3CDTF">2026-04-24T19:07:00Z</dcterms:modified>
</cp:coreProperties>
</file>