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3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0"/>
        <w:gridCol w:w="1400"/>
        <w:gridCol w:w="2200"/>
        <w:gridCol w:w="11600"/>
        <w:tblGridChange w:id="0">
          <w:tblGrid>
            <w:gridCol w:w="7800"/>
            <w:gridCol w:w="1400"/>
            <w:gridCol w:w="2200"/>
            <w:gridCol w:w="116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737373" w:space="0" w:sz="12" w:val="single"/>
              <w:left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34"/>
                <w:szCs w:val="34"/>
                <w:rtl w:val="0"/>
              </w:rPr>
              <w:t xml:space="preserve">Product Goal</w:t>
            </w:r>
          </w:p>
        </w:tc>
        <w:tc>
          <w:tcPr>
            <w:tcBorders>
              <w:top w:color="737373" w:space="0" w:sz="12" w:val="single"/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737373" w:space="0" w:sz="12" w:val="single"/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41414"/>
                <w:sz w:val="18"/>
                <w:szCs w:val="18"/>
              </w:rPr>
            </w:pPr>
            <w:r w:rsidDel="00000000" w:rsidR="00000000" w:rsidRPr="00000000">
              <w:rPr>
                <w:color w:val="141414"/>
                <w:sz w:val="18"/>
                <w:szCs w:val="18"/>
                <w:rtl w:val="0"/>
              </w:rPr>
              <w:t xml:space="preserve">25/09/2026</w:t>
            </w:r>
          </w:p>
        </w:tc>
        <w:tc>
          <w:tcPr>
            <w:vMerge w:val="restart"/>
            <w:tcBorders>
              <w:top w:color="737373" w:space="0" w:sz="12" w:val="single"/>
              <w:left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141414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7"/>
                <w:szCs w:val="17"/>
                <w:rtl w:val="0"/>
              </w:rPr>
              <w:t xml:space="preserve">CBSB | Capstone Duoc UC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37373" w:space="0" w:sz="12" w:val="single"/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"/>
                <w:szCs w:val="18"/>
                <w:rtl w:val="0"/>
              </w:rPr>
              <w:t xml:space="preserve">Revisión</w:t>
            </w:r>
          </w:p>
        </w:tc>
        <w:tc>
          <w:tcPr>
            <w:tcBorders>
              <w:top w:color="737373" w:space="0" w:sz="12" w:val="single"/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41414"/>
                <w:sz w:val="18"/>
                <w:szCs w:val="18"/>
              </w:rPr>
            </w:pPr>
            <w:r w:rsidDel="00000000" w:rsidR="00000000" w:rsidRPr="00000000">
              <w:rPr>
                <w:color w:val="141414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vMerge w:val="continue"/>
            <w:tcBorders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d1d1d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3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gridCol w:w="4600"/>
        <w:gridCol w:w="4600"/>
        <w:gridCol w:w="3800"/>
        <w:tblGridChange w:id="0">
          <w:tblGrid>
            <w:gridCol w:w="5000"/>
            <w:gridCol w:w="5000"/>
            <w:gridCol w:w="4600"/>
            <w:gridCol w:w="4600"/>
            <w:gridCol w:w="380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gridSpan w:val="3"/>
            <w:tcBorders>
              <w:top w:color="737373" w:space="0" w:sz="12" w:val="single"/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Product Goal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¿Qué queremos lograr?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8.8"/>
                <w:szCs w:val="18.8"/>
              </w:rPr>
            </w:pPr>
            <w:r w:rsidDel="00000000" w:rsidR="00000000" w:rsidRPr="00000000">
              <w:rPr>
                <w:color w:val="141414"/>
                <w:sz w:val="18.8"/>
                <w:szCs w:val="18.8"/>
                <w:rtl w:val="0"/>
              </w:rPr>
              <w:t xml:space="preserve">Disponer de una plataforma centralizada que permita a las compañías registrar y consultar sus recursos, equipamiento y mantenimiento con trazabilidad, y a Comandancia supervisar esa información según sus permisos.</w:t>
            </w:r>
          </w:p>
        </w:tc>
        <w:tc>
          <w:tcPr>
            <w:gridSpan w:val="2"/>
            <w:tcBorders>
              <w:top w:color="737373" w:space="0" w:sz="12" w:val="single"/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Visión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¿Cuál es el propósito más amplio del producto?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8.8"/>
                <w:szCs w:val="18.8"/>
              </w:rPr>
            </w:pPr>
            <w:r w:rsidDel="00000000" w:rsidR="00000000" w:rsidRPr="00000000">
              <w:rPr>
                <w:color w:val="141414"/>
                <w:sz w:val="18.8"/>
                <w:szCs w:val="18.8"/>
                <w:rtl w:val="0"/>
              </w:rPr>
              <w:t xml:space="preserve">Mejorar la gestión de Bomberos de San Bernardo mediante una solución web única que ordene inventario, unidades, préstamos y mantenimiento, reduzca la dispersión de información y fortalezca la supervisión institucional.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gridSpan w:val="2"/>
            <w:tcBorders>
              <w:top w:color="737373" w:space="0" w:sz="12" w:val="single"/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Narrativa del Product Goal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El sistema enfoca la información que hoy esta dispersa en planillas o controles separados. La solución cubre acceso por rol y compañía, catálogo, inventario, equipamiento, unidades, mantenimiento, alertas y reportes. El valor se comprobará mediante flujos utilizables, trazabilidad y pruebas acordadas con Bomberos.</w:t>
            </w:r>
          </w:p>
        </w:tc>
        <w:tc>
          <w:tcPr>
            <w:gridSpan w:val="2"/>
            <w:vMerge w:val="restart"/>
            <w:tcBorders>
              <w:top w:color="737373" w:space="0" w:sz="12" w:val="single"/>
              <w:left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Valuable Outcome and Measures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Resultados valiosos y cómo observarlos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Acceso controlado por rol y compañía.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Información centralizada y trazable sobre recursos y artículos.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Supervisión por Comandancia sin perder la separación por compañía.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Medidas iniciales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Historias priorizadas con criterios verificables y trazabilidad.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Pruebas de acceso válido, inválido y restringido sobre una versión identificable.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Demostración funcional de los módulos seleccionados en cada incremento.</w:t>
            </w:r>
          </w:p>
        </w:tc>
        <w:tc>
          <w:tcPr>
            <w:vMerge w:val="restart"/>
            <w:tcBorders>
              <w:top w:color="737373" w:space="0" w:sz="12" w:val="single"/>
              <w:left w:color="737373" w:space="0" w:sz="12" w:val="single"/>
              <w:right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Scrum Team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Integrantes y responsabilidades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Mauricio Zenteno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Developers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Alexander López - Frontend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Paulo Rivas - Backend Python / Django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Mauricio Zenteno - Documentación, trazabilidad y verificación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Scrum Master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Mauricio Zenteno</w:t>
            </w:r>
          </w:p>
        </w:tc>
      </w:tr>
      <w:tr>
        <w:trPr>
          <w:cantSplit w:val="0"/>
          <w:trHeight w:val="3500" w:hRule="atLeast"/>
          <w:tblHeader w:val="0"/>
        </w:trPr>
        <w:tc>
          <w:tcPr>
            <w:gridSpan w:val="2"/>
            <w:vMerge w:val="restart"/>
            <w:tcBorders>
              <w:top w:color="737373" w:space="0" w:sz="12" w:val="single"/>
              <w:left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Personas o grupos con interés en el producto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Compañías de Bomberos de San Bernardo y Comandancia, según sus permisos.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Influencer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Docente del Capstone y referentes institucionales que validan reglas, alcance y prioridades.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Provider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Bomberos de San Bernardo como contraparte y fuente de información operativa; equipo del proyecto.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18.4"/>
                <w:szCs w:val="18.4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Governance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Duoc UC, organización del Scrum Team, Product Owner y lineamientos institucionales de Bomberos.</w:t>
            </w:r>
          </w:p>
        </w:tc>
        <w:tc>
          <w:tcPr>
            <w:gridSpan w:val="2"/>
            <w:vMerge w:val="continue"/>
            <w:tcBorders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737373" w:space="0" w:sz="12" w:val="single"/>
              <w:right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vMerge w:val="continue"/>
            <w:tcBorders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737373" w:space="0" w:sz="12" w:val="single"/>
              <w:left w:color="737373" w:space="0" w:sz="12" w:val="single"/>
              <w:bottom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41414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5"/>
                <w:szCs w:val="25"/>
                <w:rtl w:val="0"/>
              </w:rPr>
              <w:t xml:space="preserve">Risks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16161"/>
                <w:sz w:val="15.6"/>
                <w:szCs w:val="15.6"/>
              </w:rPr>
            </w:pPr>
            <w:r w:rsidDel="00000000" w:rsidR="00000000" w:rsidRPr="00000000">
              <w:rPr>
                <w:i w:val="1"/>
                <w:iCs w:val="1"/>
                <w:color w:val="616161"/>
                <w:sz w:val="15.6"/>
                <w:szCs w:val="15.6"/>
                <w:rtl w:val="0"/>
              </w:rPr>
              <w:t xml:space="preserve">Riesgos que hoy ya se observan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Entorno/servidor:</w:t>
            </w: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 el ambiente definitivo de demostración o despliegue aún debe confirmarse.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Acceso entre compañías:</w:t>
            </w: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 debe verificarse la conectividad y separación efectiva de la información.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Integridad:</w:t>
            </w: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 préstamos, inventario y estados requieren reglas y pruebas consistentes.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4"/>
                <w:sz w:val="17.2"/>
                <w:szCs w:val="17.2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8.4"/>
                <w:szCs w:val="18.4"/>
                <w:rtl w:val="0"/>
              </w:rPr>
              <w:t xml:space="preserve">Validación:</w:t>
            </w:r>
            <w:r w:rsidDel="00000000" w:rsidR="00000000" w:rsidRPr="00000000">
              <w:rPr>
                <w:color w:val="141414"/>
                <w:sz w:val="17.2"/>
                <w:szCs w:val="17.2"/>
                <w:rtl w:val="0"/>
              </w:rPr>
              <w:t xml:space="preserve"> la retroalimentación académica o institucional puede ajustar prioridades.</w:t>
            </w:r>
          </w:p>
        </w:tc>
        <w:tc>
          <w:tcPr>
            <w:vMerge w:val="continue"/>
            <w:tcBorders>
              <w:left w:color="737373" w:space="0" w:sz="12" w:val="single"/>
              <w:bottom w:color="737373" w:space="0" w:sz="12" w:val="single"/>
              <w:right w:color="737373" w:space="0" w:sz="12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360" w:top="360" w:left="360" w:right="360" w:header="160" w:footer="1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