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MICROSOFT 365</w:t>
        <w:br/>
        <w:t>ASSESSMENT EXECUTIVO</w:t>
      </w:r>
    </w:p>
    <w:p>
      <w:pPr>
        <w:jc w:val="center"/>
      </w:pPr>
      <w:r>
        <w:rPr>
          <w:sz w:val="26"/>
        </w:rPr>
        <w:t>Microsoft 365 / Entra ID / Exchange Online</w:t>
        <w:br/>
        <w:t>13/09/2026 12:00:00</w:t>
      </w:r>
    </w:p>
    <w:p>
      <w:pPr>
        <w:pStyle w:val="Heading1"/>
      </w:pPr>
      <w:r>
        <w:t>1. Resumo executivo</w:t>
      </w:r>
    </w:p>
    <w:p>
      <w:r>
        <w:t>O assessment avaliou o ambiente Microsoft 365 em modo somente leitura, cobrindo identidade, licenciamento, Exchange Online, autenticação, privilégios, colaboração, dispositivos, aplicações e auditoria. Foram identificados 6 usuários, 5 ativos, 6 mailboxes, 3 dispositivos e 3 grupos.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Usuários</w:t>
            </w:r>
          </w:p>
        </w:tc>
        <w:tc>
          <w:tcPr>
            <w:tcW w:type="dxa" w:w="4320"/>
          </w:tcPr>
          <w:p>
            <w:r>
              <w:t>6 (5 ativos / 1 bloqueados)</w:t>
            </w:r>
          </w:p>
        </w:tc>
      </w:tr>
      <w:tr>
        <w:tc>
          <w:tcPr>
            <w:tcW w:type="dxa" w:w="4320"/>
          </w:tcPr>
          <w:p>
            <w:r>
              <w:t>Licenciamento</w:t>
            </w:r>
          </w:p>
        </w:tc>
        <w:tc>
          <w:tcPr>
            <w:tcW w:type="dxa" w:w="4320"/>
          </w:tcPr>
          <w:p>
            <w:r>
              <w:t>3 licenciados / 3 sem licença</w:t>
            </w:r>
          </w:p>
        </w:tc>
      </w:tr>
      <w:tr>
        <w:tc>
          <w:tcPr>
            <w:tcW w:type="dxa" w:w="4320"/>
          </w:tcPr>
          <w:p>
            <w:r>
              <w:t>Exchange</w:t>
            </w:r>
          </w:p>
        </w:tc>
        <w:tc>
          <w:tcPr>
            <w:tcW w:type="dxa" w:w="4320"/>
          </w:tcPr>
          <w:p>
            <w:r>
              <w:t>3 user / 2 shared / 1 room</w:t>
            </w:r>
          </w:p>
        </w:tc>
      </w:tr>
      <w:tr>
        <w:tc>
          <w:tcPr>
            <w:tcW w:type="dxa" w:w="4320"/>
          </w:tcPr>
          <w:p>
            <w:r>
              <w:t>Security Defaults</w:t>
            </w:r>
          </w:p>
        </w:tc>
        <w:tc>
          <w:tcPr>
            <w:tcW w:type="dxa" w:w="4320"/>
          </w:tcPr>
          <w:p>
            <w:r>
              <w:t>DESABILITADO</w:t>
            </w:r>
          </w:p>
        </w:tc>
      </w:tr>
      <w:tr>
        <w:tc>
          <w:tcPr>
            <w:tcW w:type="dxa" w:w="4320"/>
          </w:tcPr>
          <w:p>
            <w:r>
              <w:t>Conditional Access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MFA-capable identificado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Global Administrators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Grupos sem owner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Dispositivos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App Registrations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Enterprise Applications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Sign-ins coletados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2. Principais achados</w:t>
      </w:r>
    </w:p>
    <w:p>
      <w:r>
        <w:rPr>
          <w:b/>
        </w:rPr>
        <w:t>[ALTO] MFA / Identidade</w:t>
        <w:br/>
      </w:r>
      <w:r>
        <w:t>Security Defaults está desabilitado e não foram identificadas políticas de Conditional Access.</w:t>
      </w:r>
    </w:p>
    <w:p>
      <w:r>
        <w:t>Evidência: Security Defaults = False; Conditional Access = 0.</w:t>
      </w:r>
    </w:p>
    <w:p>
      <w:r>
        <w:t>Recomendação: Avaliar uma estratégia de MFA proporcional ao risco, priorizando contas administrativas e usuários com acesso a dados sensíveis.</w:t>
      </w:r>
    </w:p>
    <w:p>
      <w:r>
        <w:rPr>
          <w:b/>
        </w:rPr>
        <w:t>[ALTO] Privileged Access</w:t>
        <w:br/>
      </w:r>
      <w:r>
        <w:t>Foram identificados 1 Global Administrators.</w:t>
      </w:r>
    </w:p>
    <w:p>
      <w:r>
        <w:t>Evidência: 1 assignments no role Global Administrator.</w:t>
      </w:r>
    </w:p>
    <w:p>
      <w:r>
        <w:t>Recomendação: Revisar a necessidade de cada conta e aplicar princípio do menor privilégio.</w:t>
      </w:r>
    </w:p>
    <w:p>
      <w:r>
        <w:rPr>
          <w:b/>
        </w:rPr>
        <w:t>[MÉDIO] Governança</w:t>
        <w:br/>
      </w:r>
      <w:r>
        <w:t>Foram identificados 2 grupos sem proprietário.</w:t>
      </w:r>
    </w:p>
    <w:p>
      <w:r>
        <w:t>Evidência: 3 grupos totais; 2 sem owner identificado.</w:t>
      </w:r>
    </w:p>
    <w:p>
      <w:r>
        <w:t>Recomendação: Definir responsáveis e ciclo de vida para grupos que permanecerão ativos.</w:t>
      </w:r>
    </w:p>
    <w:p>
      <w:pPr>
        <w:pStyle w:val="Heading1"/>
      </w:pPr>
      <w:r>
        <w:t>3. Pontos que merecem validação</w:t>
      </w:r>
    </w:p>
    <w:p>
      <w:pPr>
        <w:pStyle w:val="ListBullet"/>
      </w:pPr>
      <w:r>
        <w:t>Os 3 usuários sem método MFA-capable identificado precisam ser cruzados com o processo real de autenticação antes de concluir que estão sem MFA.</w:t>
      </w:r>
    </w:p>
    <w:p>
      <w:pPr>
        <w:pStyle w:val="ListBullet"/>
      </w:pPr>
      <w:r>
        <w:t>Os 2 Enterprise Applications / service principals incluem objetos de serviço Microsoft e integrações; não devem ser interpretados como aplicações de negócio.</w:t>
      </w:r>
    </w:p>
    <w:p>
      <w:pPr>
        <w:pStyle w:val="ListBullet"/>
      </w:pPr>
      <w:r>
        <w:t>Os 3 usuários sem licença devem ser classificados entre contas funcionais, guests, contas de serviço e usuários que realmente necessitam de licença.</w:t>
      </w:r>
    </w:p>
    <w:p>
      <w:pPr>
        <w:pStyle w:val="ListBullet"/>
      </w:pPr>
      <w:r>
        <w:t>Os 2 grupos sem proprietário devem ser avaliados quanto à necessidade e ciclo de vida.</w:t>
      </w:r>
    </w:p>
    <w:p>
      <w:pPr>
        <w:pStyle w:val="Heading1"/>
      </w:pPr>
      <w:r>
        <w:t>4. Recomendações iniciais</w:t>
      </w:r>
    </w:p>
    <w:p>
      <w:pPr>
        <w:pStyle w:val="ListBullet"/>
      </w:pPr>
      <w:r>
        <w:t>Revisar privilégios administrativos e reduzir Global Administrators ao mínimo necessário.</w:t>
      </w:r>
    </w:p>
    <w:p>
      <w:pPr>
        <w:pStyle w:val="ListBullet"/>
      </w:pPr>
      <w:r>
        <w:t>Definir uma estratégia de MFA proporcional ao risco, começando pelas contas administrativas.</w:t>
      </w:r>
    </w:p>
    <w:p>
      <w:pPr>
        <w:pStyle w:val="ListBullet"/>
      </w:pPr>
      <w:r>
        <w:t>Revisar grupos sem proprietário e estabelecer governança mínima.</w:t>
      </w:r>
    </w:p>
    <w:p>
      <w:pPr>
        <w:pStyle w:val="ListBullet"/>
      </w:pPr>
      <w:r>
        <w:t>Classificar usuários sem licença e contas funcionais antes de qualquer otimização de licenciamento.</w:t>
      </w:r>
    </w:p>
    <w:p>
      <w:pPr>
        <w:pStyle w:val="ListBullet"/>
      </w:pPr>
      <w:r>
        <w:t>Classificar dispositivos registrados no Entra ID entre ativos atuais, antigos, duplicados e equipamentos corporativos.</w:t>
      </w:r>
    </w:p>
    <w:p>
      <w:pPr>
        <w:pStyle w:val="ListBullet"/>
      </w:pPr>
      <w:r>
        <w:t>Classificar Enterprise Applications por origem, proprietário, finalidade e necessidade.</w:t>
      </w:r>
    </w:p>
    <w:p>
      <w:pPr>
        <w:pStyle w:val="ListBullet"/>
      </w:pPr>
      <w:r>
        <w:t>Levantar o custo financeiro real das assinaturas no Admin Center antes de apresentar qualquer economia.</w:t>
      </w:r>
    </w:p>
    <w:p>
      <w:pPr>
        <w:pStyle w:val="Heading1"/>
      </w:pPr>
      <w:r>
        <w:t>5. Entregáveis técnicos</w:t>
      </w:r>
    </w:p>
    <w:p>
      <w:r>
        <w:t>O workbook anexo consolida os dados por usuário e por domínio de avaliação, incluindo licenças, consumo de mailbox, MFA, privilégios, grupos, dispositivos, aplicações e auditoria. Os CSVs brutos permanecem preservados em output\raw para rastreabilidade.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