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Regime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Confirmações obrigatórias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Simples Nacional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Critério de receita, anexos aplicáveis e revisão das segregações.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Presumido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Periodicidade de IRPJ/CSLL, tratamento de PIS/COFINS e revisão de atividades e receitas adicionais.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Real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Forma de apuração, tratamento de PIS/COFINS, e-Lalur/e-Lacs e critérios de créditos.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do Paulo e equipe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de desenvolvimento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Escolher 2 ou 3 empresas-piloto e a competência inicial.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Preparar roteiro reproduzível e painel de pendências do piloto.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Cadastrar/aprovar saldos anteriores, regime, plano e históricos.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Validar travas, rastreabilidade e consistência desses cadastros.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Fornecer extratos, livros e relatórios finais da SAGE para comparação.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Implementar conciliação formal e testes com os arquivos aprovados.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Definir contas críticas e política do ativo/depreciação.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Integrar o ativo à prévia de lançamentos, sem decisão contábil automática.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Aprovar relatórios e registrar exceções de cada fechamento.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Corrigir, testar, versionar, publicar e verificar cada etapa em produção.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sha256=7fca7fb406310d7a2a5c0ebb112a0415d34dc1191d6d774f992695a28f6f90ed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