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2.9  |  19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A retirada definitiva da SAGE depende da homologação dessas rotinas em fechamentos-piloto e das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Na Relação de NFs de Serviços Prestados, o CCI preserva base de cálculo, alíquota, valor do ISS e ISS retido; cada ISS retido não zerado gera uma linha própria vinculada à mesma NF e ao tomador.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 No relatório de serviços prestados, confira se o total das linhas de ISS retido coincide com o total oficial impresso pela SAGE.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 inicial + movimentos = saldo final por conta em empresas-piloto, sem diferença.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Passagem entre competências e dezembro/janeiro validada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aprovadas em empresa-piloto, com contas e valores conferidos.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v2.9  •  19/08/2026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sha256=06dea415a9dca5803da03a6853bfa15a2b1a8610f5e8442216d573c95199492b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