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2.15  |  19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Em 19/08/2026 foram corrigidas nove frentes operacionais e adicionadas regressões com arquivos reais. A retirada definitiva da SAGE continua condicionada aos fechamentos-piloto, à recuperação de backup e às validações finais de operação.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spacing w:after="80" w:line="300" w:lineRule="auto"/>
        <w:numPr>
          <w:ilvl w:val="0"/>
          <w:numId w:val="10"/>
        </w:numPr>
      </w:pPr>
      <w:r>
        <w:t>AuditAI com totalização oficial de Ativo, Passivo, Circulante e Não Circulante, aba Balancete de quatro colunas e falha visível quando o parecer de IA estiver indisponível.</w:t>
      </w:r>
    </w:p>
    <w:p>
      <w:pPr>
        <w:spacing w:after="80" w:line="300" w:lineRule="auto"/>
        <w:numPr>
          <w:ilvl w:val="0"/>
          <w:numId w:val="10"/>
        </w:numPr>
      </w:pPr>
      <w:r>
        <w:t>Relação SAGE de Serviços Tomados aceita fornecedor identificado por CNPJ ou CPF e exige que todas as notas fechem com o total oficial.</w:t>
      </w:r>
    </w:p>
    <w:p>
      <w:pPr>
        <w:spacing w:after="80" w:line="300" w:lineRule="auto"/>
        <w:numPr>
          <w:ilvl w:val="0"/>
          <w:numId w:val="10"/>
        </w:numPr>
      </w:pPr>
      <w:r>
        <w:t>Modelos gerais de Livro de Entradas e Livro de Saídas da SAGE, disponíveis para qualquer empresa ativa, com direção fiscal, chaves, impostos, CFOP e identidade da empresa protegidos antes da gravação.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Saldos anteriores e implantação da empresa</w:t>
      </w:r>
    </w:p>
    <w:p>
      <w:r>
        <w:t>O saldo anterior representa a posição patrimonial imediatamente anterior ao início da escrituração no CCI. Ele não é uma nova importação bancária e não deve ser repetido em cada mês.</w:t>
      </w:r>
    </w:p>
    <w:p>
      <w:pPr>
        <w:spacing w:after="80" w:line="300" w:lineRule="auto"/>
        <w:numPr>
          <w:ilvl w:val="0"/>
          <w:numId w:val="11"/>
        </w:numPr>
      </w:pPr>
      <w:r>
        <w:t>Ativar a empresa e abrir Cadastro de Empresas.</w:t>
      </w:r>
    </w:p>
    <w:p>
      <w:pPr>
        <w:spacing w:after="80" w:line="300" w:lineRule="auto"/>
        <w:numPr>
          <w:ilvl w:val="0"/>
          <w:numId w:val="11"/>
        </w:numPr>
      </w:pPr>
      <w:r>
        <w:t>Definir Modo contábil como CCI — sistema único e conferir a data de início da escrituração.</w:t>
      </w:r>
    </w:p>
    <w:p>
      <w:pPr>
        <w:spacing w:after="80" w:line="300" w:lineRule="auto"/>
        <w:numPr>
          <w:ilvl w:val="0"/>
          <w:numId w:val="11"/>
        </w:numPr>
      </w:pPr>
      <w:r>
        <w:t>Abrir Contábil &gt; Saldos anteriores; o CCI selecionará automaticamente 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Informar somente contas analíticas do plano ativo, uma por linha no formato conta;valor.</w:t>
      </w:r>
    </w:p>
    <w:p>
      <w:pPr>
        <w:spacing w:after="80" w:line="300" w:lineRule="auto"/>
        <w:numPr>
          <w:ilvl w:val="0"/>
          <w:numId w:val="11"/>
        </w:numPr>
      </w:pPr>
      <w:r>
        <w:t>Usar valor positivo para saldo devedor e negativo para saldo credor.</w:t>
      </w:r>
    </w:p>
    <w:p>
      <w:pPr>
        <w:spacing w:after="80" w:line="300" w:lineRule="auto"/>
        <w:numPr>
          <w:ilvl w:val="0"/>
          <w:numId w:val="11"/>
        </w:numPr>
      </w:pPr>
      <w:r>
        <w:t>Conferir quantidade, total devedor, total credor e diferença; a diferença deve ser zero.</w:t>
      </w:r>
    </w:p>
    <w:p>
      <w:pPr>
        <w:spacing w:after="80" w:line="300" w:lineRule="auto"/>
        <w:numPr>
          <w:ilvl w:val="0"/>
          <w:numId w:val="11"/>
        </w:numPr>
      </w:pPr>
      <w:r>
        <w:t>Salvar os saldos e aprovar a abertura. A aprovação somente fica disponível na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Nos meses seguintes, utilizar o transporte automático produzido pelo fechamento; não recadastrar manualmente.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Travas: </w:t>
            </w:r>
            <w:r>
              <w:t>O CCI rejeita conta inexistente, conta sintética, saldo vazio e abertura sem igualdade entre débitos e créditos. Período encerrado ou saldo transportado ficam protegidos contra alteração manual.</w:t>
            </w:r>
          </w:p>
        </w:tc>
      </w:tr>
    </w:tbl>
    <w:p>
      <w:pPr>
        <w:spacing w:after="0"/>
      </w:pPr>
    </w:p>
    <w:p>
      <w:pPr>
        <w:pStyle w:val="Heading1"/>
      </w:pPr>
      <w:r>
        <w:t>5.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6.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6A.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mercadorias e documentos fiscais da SAGE, selecionar Modelo geral — NF-e de entrada (compras) ou Modelo geral — NF-e de saída (vendas). Os dois modelos atendem todas as empresas.</w:t>
      </w:r>
    </w:p>
    <w:p>
      <w:pPr>
        <w:spacing w:after="80" w:line="300" w:lineRule="auto"/>
        <w:ind w:left="270"/>
      </w:pPr>
      <w:r>
        <w:t>☐ No Livro de Entradas, manter o nome exportado no padrão NNNN_RelatorioNotas...; o código NNNN_ deve coincidir com o Nº da empresa informado no Cadastro do CCI.</w:t>
      </w:r>
    </w:p>
    <w:p>
      <w:pPr>
        <w:spacing w:after="80" w:line="300" w:lineRule="auto"/>
        <w:ind w:left="270"/>
      </w:pPr>
      <w:r>
        <w:t>☐ No Livro de Saídas, o CCI extrai o CNPJ emitente das chaves NF-e e exige igualdade com o CNPJ da empresa ativa.</w:t>
      </w:r>
    </w:p>
    <w:p>
      <w:pPr>
        <w:spacing w:after="80" w:line="300" w:lineRule="auto"/>
        <w:ind w:left="270"/>
      </w:pPr>
      <w:r>
        <w:t>☐ Conferir direção E/S, quantidade de notas, cobertura das chaves, período, CFOP, valor contábil e impostos destacados antes de continuar.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Livro de Entradas: </w:t>
            </w:r>
            <w:r>
              <w:t>A chave NF-e de uma entrada identifica o fornecedor emitente, não a empresa compradora. Por isso, a trava segura usa o código NNNN_ do arquivo contra o Nº da empresa no cadastro ativo, além de exigir estrutura, direção E e cobertura das chaves. Não renomeie o arquivo removendo o código.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Livro de Saídas: </w:t>
            </w:r>
            <w:r>
              <w:t>Nas saídas, a chave NF-e contém o CNPJ da própria empresa emitente. Todas as notas devem possuir chave válida e apontar para um único CNPJ, idêntico ao cadastro ativo.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7.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Cada lançamento recebe uma numeração permanente na empresa. Em Lançamentos, use o filtro Nº do lançamento para localizar diretamente um registro já importado.</w:t>
      </w:r>
    </w:p>
    <w:p>
      <w:pPr>
        <w:spacing w:after="80" w:line="300" w:lineRule="auto"/>
        <w:numPr>
          <w:ilvl w:val="0"/>
          <w:numId w:val="10"/>
        </w:numPr>
      </w:pPr>
      <w:r>
        <w:t>Para editar um lançamento existente, clique no lápis da linha. O CCI preserva a origem da importação, registra os valores anteriores, o usuário e a data da alteração, e bloqueia a edição quando a competência estiver encerrada.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8.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No modal Conciliação de Arquivos, planilhas identificadas como Relatório Pagamentos tratam a coluna Valor como saída. A linha TOTAL não é importada como movimento.</w:t>
      </w:r>
    </w:p>
    <w:p>
      <w:pPr>
        <w:spacing w:after="80" w:line="300" w:lineRule="auto"/>
        <w:ind w:left="270"/>
      </w:pPr>
      <w:r>
        <w:t>☐ Mesmo valor e sentido em datas diferentes por até 10 dias seguem para Revisão manual; somente o colaborador confirma a contraparte correta.</w:t>
      </w:r>
    </w:p>
    <w:p>
      <w:pPr>
        <w:spacing w:after="80" w:line="300" w:lineRule="auto"/>
        <w:ind w:left="270"/>
      </w:pPr>
      <w:r>
        <w:t>☐ No AuditAI, balancetes PDF com texto pesquisável são extraídos localmente. O CCI preserva contas, CNPJ, período e totais oficiais sem depender de créditos do Gemini; a IA fica como contingência para documentos em imagem e para pareceres complementares.</w:t>
      </w:r>
    </w:p>
    <w:p>
      <w:pPr>
        <w:spacing w:after="80" w:line="300" w:lineRule="auto"/>
        <w:ind w:left="270"/>
      </w:pPr>
      <w:r>
        <w:t>☐ No AuditAI, usar a aba Balancete para conferir saldo anterior, débito, crédito e saldo atual. No Balanço, os subtotais e os totais gerais devem coincidir com as linhas oficiais do arquivo.</w:t>
      </w:r>
    </w:p>
    <w:p>
      <w:pPr>
        <w:spacing w:after="80" w:line="300" w:lineRule="auto"/>
        <w:ind w:left="270"/>
      </w:pPr>
      <w:r>
        <w:t>☐ Se o provedor de IA estiver sem cota, o parecer deve mostrar aviso e opção Tentar novamente; os demonstrativos e valores permanecem disponíveis e não podem ficar em branco silenciosamente.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9.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10.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11.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12. Balanço de 19/08/2026</w:t>
      </w:r>
    </w:p>
    <w:p>
      <w:r>
        <w:t>O dia terminou com nove entregas publicadas, da v3.4.157 à v3.4.165. Os erros tratados foram reproduzidos com os arquivos enviados pelos colaboradores, transformados em testes permanentes e validados novamente no deploy.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Resultado do dia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Status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De/Para e memória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Acesso restaurado e correção em lote permitida com auditoria.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testado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Extratos Itaú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PDF em imagem processado localmente; FI confere sentido e conta bancária.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homologado com arquivos reais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Movimento fiscal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ISS retido restaurado; Serviços Tomados aceita CPF; livros gerais de Entradas e Saídas criados.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testado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Planilha de pagamentos passa a respeitar saídas e divergências de data vão para revisão manual.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publicado; falta fechamento-piloto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AuditAI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Extração local do balancete, totais oficiais de Ativo/Passivo, aba Balancete e falha visível do parecer.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Publicado; falta homologação operacional ampliada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Implantação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Saldos anteriores acessíveis e aprovação liberada na competência inicial; lançamento importado pode ser localizado e editado.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Publicado; falta uso em empresa-piloto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Qualidade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Suíte integral aprovada e arquivos reais incorporados às regressões.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Controle contínuo ativo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10"/>
        </w:numPr>
      </w:pPr>
      <w:r>
        <w:t>Nenhum lançamento, empresa ou memória existente foi excluído automaticamente durante as correções.</w:t>
      </w:r>
    </w:p>
    <w:p>
      <w:pPr>
        <w:spacing w:after="80" w:line="300" w:lineRule="auto"/>
        <w:numPr>
          <w:ilvl w:val="0"/>
          <w:numId w:val="10"/>
        </w:numPr>
      </w:pPr>
      <w:r>
        <w:t>Erros técnicos do provedor de IA deixaram de ser apresentados como se fossem erro do arquivo quando existe processamento local homologado.</w:t>
      </w:r>
    </w:p>
    <w:p>
      <w:pPr>
        <w:spacing w:after="80" w:line="300" w:lineRule="auto"/>
        <w:numPr>
          <w:ilvl w:val="0"/>
          <w:numId w:val="10"/>
        </w:numPr>
      </w:pPr>
      <w:r>
        <w:t>A validação passou a comparar conteúdo importado, arquivo FI e relatório da SAGE antes de concluir a correção.</w:t>
      </w:r>
    </w:p>
    <w:p>
      <w:pPr>
        <w:spacing w:after="80" w:line="300" w:lineRule="auto"/>
        <w:numPr>
          <w:ilvl w:val="0"/>
          <w:numId w:val="10"/>
        </w:numPr>
      </w:pPr>
      <w:r>
        <w:t>Novidades, versão do aplicativo e testes foram atualizados junto com cada publicação.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Status da substituição da SAGE: </w:t>
            </w:r>
            <w:r>
              <w:t>A cobertura funcional é alta, mas a virada definitiva ainda não está autorizada. O próximo ganho real depende de escolher empresas-piloto, aprovar saldos de abertura e completar fechamentos mensais consecutivos, incluindo conciliação, transporte e ativo.</w:t>
            </w:r>
          </w:p>
        </w:tc>
      </w:tr>
    </w:tbl>
    <w:p>
      <w:pPr>
        <w:spacing w:after="0"/>
      </w:pPr>
    </w:p>
    <w:p>
      <w:pPr>
        <w:pStyle w:val="Heading1"/>
      </w:pPr>
      <w:r>
        <w:t>13. Pendências atualizadas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 INICIAR — 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Selecionar 2 ou 3 empresas; aprovar dados de abertura, regime, plano, históricos e competência.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implementado; comprovar saldo inicial + movimentos = saldo final por conta em fechamentos reais.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e regressões aprovados; validar passagem entre competências e dezembro/janeiro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Integração implementada; aprovar aquisição, transferência, depreciação e baixa em empresa-piloto.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PENDENTE — backup e recuperação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Definir Firestore + cópia externa, agenda, retenção e executar teste documentado de restauração; validar múltiplos usuários e volume.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PENDENTE — virada definitiva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Concluir dois ou três fechamentos consecutivos, revisar relatórios e encerrar todas as pendências críticas.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14.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v2.15  •  19/08/2026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sha256=940f2a9d0438ec3cae88e46ab5235af19fafc1d78707db5a6d79990cbf5214bf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