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2.7  |  18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 e ECD/ECF. A retirada definitiva da SAGE depende dos fechamentos-piloto, conciliação formal, automação patrimonial e validações operacionais finais.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Cadastro e cálculo existem; lançamentos automáticos ainda dependem de implementação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formal e escala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por saldo bancário, concorrência, recuperação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específicas para Simples Nacional, Lucro Presumido e Lucro Real,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5.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 Banco do Brasil: </w:t>
            </w:r>
            <w:r>
              <w:t>Em PDF escaneado,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5A.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</w:t>
            </w:r>
          </w:p>
        </w:tc>
      </w:tr>
    </w:tbl>
    <w:p>
      <w:pPr>
        <w:spacing w:after="0"/>
      </w:pPr>
    </w:p>
    <w:p>
      <w:pPr>
        <w:pStyle w:val="Heading1"/>
      </w:pPr>
      <w:r>
        <w:t>6.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7.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Diferenças identificadas, justificadas e corrigidas antes do fechamento.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Período aberto: </w:t>
            </w:r>
            <w:r>
              <w:t>Os relatórios podem ser visualizados antes do fechamento. O fechamento preserva a versão aprovada; não é necessário esperar para revisar.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8.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Acesso administrativo: </w:t>
            </w:r>
            <w:r>
              <w:t>Somente administrador confirma a parametrização. O CCI registra pendências e bloqueia o fechamento exclusivo, mas não inventa anexos, percentuais, créditos ou exceções fiscais.</w:t>
            </w:r>
          </w:p>
        </w:tc>
      </w:tr>
    </w:tbl>
    <w:p>
      <w:pPr>
        <w:spacing w:after="0"/>
      </w:pPr>
    </w:p>
    <w:p>
      <w:pPr>
        <w:pStyle w:val="Heading1"/>
      </w:pPr>
      <w:r>
        <w:t>9.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depreciação acumulada, valor contábil e baixa. Nesta etapa, cadastro e cálculo não substituem os lançamentos contábeis mensais.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Até a automação: </w:t>
            </w:r>
            <w:r>
              <w:t>O colaborador deve calcular, revisar e lançar a depreciação na escrituração, vinculando despesa e depreciação acumulada. O cadastro do bem, isoladamente, não atualiza os relatórios.</w:t>
            </w:r>
          </w:p>
        </w:tc>
      </w:tr>
    </w:tbl>
    <w:p>
      <w:pPr>
        <w:spacing w:after="0"/>
      </w:pPr>
    </w:p>
    <w:p>
      <w:pPr>
        <w:pStyle w:val="Heading1"/>
      </w:pPr>
      <w:r>
        <w:t>10.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11. Pendências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Dados de abertura, regime, plano, históricos e competência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 inicial + movimentos = saldo final por conta, sem diferença não justificada.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Transporte de saldos e livro permanente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Passagem entre competências/exercícios com autoria, versão e trilha auditável.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integrado à escrituração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depreciação, transferência e baixa geradas com prévia e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Homologação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Backup/restauração, múltiplos usuários, permissões, falhas e volume testados.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Virada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Dois ou três fechamentos consecutivos aprovados e sem pendência crítica.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v2.7  •  18/08/2026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sha256=de7cc71b49b1feff2025b161b67f205e68e9ce6c9729dd085658a83234fd7ea5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