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2.18  |  20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fechamento, conciliação bancária formal, transporte controlado de saldos, eventos contábeis do ativo imobilizado e ECD/ECF. Em 20/08/2026 o CCI passou a calcular o roteiro de homologação de cada empresa-piloto com evidências gravadas no próprio sistema. A retirada definitiva da SAGE continua condicionada aos fechamentos-piloto, à recuperação de backup e às validações finais de operação.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geram prévia e somente incluem lançamentos após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 e transporte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Confronta saldo contábil e extrato; o fechamento transporta e protege os saldos da competência seguinte.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Escala e recuperação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Ainda requer homologação de backup/restauração, concorrência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20/08/2026</w:t>
      </w:r>
    </w:p>
    <w:p>
      <w:pPr>
        <w:spacing w:after="80" w:line="300" w:lineRule="auto"/>
        <w:numPr>
          <w:ilvl w:val="0"/>
          <w:numId w:val="10"/>
        </w:numPr>
      </w:pPr>
      <w:r>
        <w:t>Novo roteiro da empresa-piloto dentro dos Relatórios Contábeis, com percentual e próxima ação.</w:t>
      </w:r>
    </w:p>
    <w:p>
      <w:pPr>
        <w:spacing w:after="80" w:line="300" w:lineRule="auto"/>
        <w:numPr>
          <w:ilvl w:val="0"/>
          <w:numId w:val="10"/>
        </w:numPr>
      </w:pPr>
      <w:r>
        <w:t>A homologação usa evidências gravadas: configuração, abertura, fechamentos consecutivos, conciliações, transportes e eventos do ativo.</w:t>
      </w:r>
    </w:p>
    <w:p>
      <w:pPr>
        <w:spacing w:after="80" w:line="300" w:lineRule="auto"/>
        <w:numPr>
          <w:ilvl w:val="0"/>
          <w:numId w:val="10"/>
        </w:numPr>
      </w:pPr>
      <w:r>
        <w:t>Nenhuma etapa pode ser aprovada manualmente pelo painel; o status muda somente quando a operação correspondente é concluída no CCI.</w:t>
      </w:r>
    </w:p>
    <w:p>
      <w:pPr>
        <w:spacing w:after="80" w:line="300" w:lineRule="auto"/>
        <w:numPr>
          <w:ilvl w:val="0"/>
          <w:numId w:val="10"/>
        </w:numPr>
      </w:pPr>
      <w:r>
        <w:t>Empresas sem bens cadastrados recebem Ativo imobilizado como etapa não aplicável, sem reduzir artificialmente a prontidão.</w:t>
      </w:r>
    </w:p>
    <w:p>
      <w:pPr>
        <w:spacing w:after="80" w:line="300" w:lineRule="auto"/>
        <w:numPr>
          <w:ilvl w:val="0"/>
          <w:numId w:val="10"/>
        </w:numPr>
      </w:pPr>
      <w:r>
        <w:t>Isenta, Imune e Terceiro Setor passaram a ser reconhecidos também pelo cálculo geral de prontidão contábil, alinhado às parametrizações já existentes.</w:t>
      </w:r>
    </w:p>
    <w:p>
      <w:pPr>
        <w:spacing w:after="80" w:line="300" w:lineRule="auto"/>
        <w:numPr>
          <w:ilvl w:val="0"/>
          <w:numId w:val="10"/>
        </w:numPr>
      </w:pPr>
      <w:r>
        <w:t>Importar Folha passou a ficar disponível para todos os colaboradores autenticados, sempre limitado às empresas da carteira do usuário; vincular empresa e excluir cadastros continuam sendo funções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O arquivo contábil da SAGE Folha no padrão FPIMP + código da empresa + .mês é reconhecido diretamente pelo CCI. Antes da conferência e gravação, o sistema valida o código da empresa, o mês do arquivo, a competência ativa, o layout fixo, as contas, o histórico, o valor e a duplicidade.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Critério de virada: </w:t>
            </w:r>
            <w:r>
              <w:t>O percentual da empresa-piloto não autoriza sozinho a retirada da SAGE. A decisão final continua dependendo dos fechamentos reais, recuperação de backup, múltiplos usuários e validação do responsável contábil.</w:t>
            </w:r>
          </w:p>
        </w:tc>
      </w:tr>
    </w:tbl>
    <w:p>
      <w:pPr>
        <w:spacing w:after="0"/>
      </w:pPr>
    </w:p>
    <w:p>
      <w:pPr>
        <w:pStyle w:val="Heading1"/>
      </w:pPr>
      <w:r>
        <w:t>2.1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para Simples Nacional, Lucro Presumido, Lucro Real, Isenta, Imune e Terceiro Setor,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Entidades especiais cruzam o CNAE principal recebido do CFI com parecer orientativo do Gemini 3.7, sem decisão automática de enquadramento.</w:t>
      </w:r>
    </w:p>
    <w:p>
      <w:pPr>
        <w:spacing w:after="80" w:line="300" w:lineRule="auto"/>
        <w:numPr>
          <w:ilvl w:val="0"/>
          <w:numId w:val="10"/>
        </w:numPr>
      </w:pPr>
      <w:r>
        <w:t>Conciliação bancária formal com saldo contábil, saldo do extrato, diferença, usuário, data e hash do período.</w:t>
      </w:r>
    </w:p>
    <w:p>
      <w:pPr>
        <w:spacing w:after="80" w:line="300" w:lineRule="auto"/>
        <w:numPr>
          <w:ilvl w:val="0"/>
          <w:numId w:val="10"/>
        </w:numPr>
      </w:pPr>
      <w:r>
        <w:t>Transporte automático e protegido dos saldos finais após o fechamento, incluindo a passagem de dezembro para janeiro.</w:t>
      </w:r>
    </w:p>
    <w:p>
      <w:pPr>
        <w:spacing w:after="80" w:line="300" w:lineRule="auto"/>
        <w:numPr>
          <w:ilvl w:val="0"/>
          <w:numId w:val="10"/>
        </w:numPr>
      </w:pPr>
      <w:r>
        <w:t>Aquisição, transferência, depreciação e baixa integradas à sessão contábil mediante prévia, aprovação e proteção contra duplicidade.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spacing w:after="80" w:line="300" w:lineRule="auto"/>
        <w:numPr>
          <w:ilvl w:val="0"/>
          <w:numId w:val="10"/>
        </w:numPr>
      </w:pPr>
      <w:r>
        <w:t>Acesso direto e visível ao De/Para de Arquivos, para validar o relacionamento SAGE → CCI sem gravar lançamentos ou saldos.</w:t>
      </w:r>
    </w:p>
    <w:p>
      <w:pPr>
        <w:spacing w:after="80" w:line="300" w:lineRule="auto"/>
        <w:numPr>
          <w:ilvl w:val="0"/>
          <w:numId w:val="10"/>
        </w:numPr>
      </w:pPr>
      <w:r>
        <w:t>Demonstrativo SAGE de impostos retidos em serviços prestados com linha bruta e linhas separadas de PIS, COFINS, CSLL, IRRF e INSS quando houver valor.</w:t>
      </w:r>
    </w:p>
    <w:p>
      <w:pPr>
        <w:spacing w:after="80" w:line="300" w:lineRule="auto"/>
        <w:numPr>
          <w:ilvl w:val="0"/>
          <w:numId w:val="10"/>
        </w:numPr>
      </w:pPr>
      <w:r>
        <w:t>Novo modal Retenções de Serviços Tomados, disponível para todas as empresas, com leitura do relatório SAGE de notas de entradas de serviços.</w:t>
      </w:r>
    </w:p>
    <w:p>
      <w:pPr>
        <w:spacing w:after="80" w:line="300" w:lineRule="auto"/>
        <w:numPr>
          <w:ilvl w:val="0"/>
          <w:numId w:val="10"/>
        </w:numPr>
      </w:pPr>
      <w:r>
        <w:t>Nova área Dados e Matriz/Filial, com cadastro completo da empresa, vínculo direto da filial à matriz principal e relação das unidades vinculadas.</w:t>
      </w:r>
    </w:p>
    <w:p>
      <w:pPr>
        <w:spacing w:after="80" w:line="300" w:lineRule="auto"/>
        <w:numPr>
          <w:ilvl w:val="0"/>
          <w:numId w:val="10"/>
        </w:numPr>
      </w:pPr>
      <w:r>
        <w:t>AuditAI com totalização oficial de Ativo, Passivo, Circulante e Não Circulante, aba Balancete de quatro colunas e falha visível quando o parecer de IA estiver indisponível.</w:t>
      </w:r>
    </w:p>
    <w:p>
      <w:pPr>
        <w:spacing w:after="80" w:line="300" w:lineRule="auto"/>
        <w:numPr>
          <w:ilvl w:val="0"/>
          <w:numId w:val="10"/>
        </w:numPr>
      </w:pPr>
      <w:r>
        <w:t>Relação SAGE de Serviços Tomados aceita fornecedor identificado por CNPJ ou CPF e exige que todas as notas fechem com o total oficial.</w:t>
      </w:r>
    </w:p>
    <w:p>
      <w:pPr>
        <w:spacing w:after="80" w:line="300" w:lineRule="auto"/>
        <w:numPr>
          <w:ilvl w:val="0"/>
          <w:numId w:val="10"/>
        </w:numPr>
      </w:pPr>
      <w:r>
        <w:t>Modelos gerais de Livro de Entradas e Livro de Saídas da SAGE, disponíveis para qualquer empresa ativa, com direção fiscal, chaves, impostos, CFOP e identidade da empresa protegidos antes da gravação.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r>
        <w:rPr>
          <w:b/>
        </w:rPr>
        <w:t xml:space="preserve">Cadastro oficial da empresa: </w:t>
      </w:r>
      <w:r>
        <w:t>Registro único do CCI para razão social, nome fantasia, endereço, inscrições, CNAE, datas, contatos e estrutura empresarial. Alterações ficam vinculadas ao usuário e à data da atualização.</w:t>
      </w:r>
    </w:p>
    <w:p>
      <w:r>
        <w:rPr>
          <w:b/>
        </w:rPr>
        <w:t xml:space="preserve">Matriz e filial: </w:t>
      </w:r>
      <w:r>
        <w:t>Uma filial deve apontar diretamente para a matriz principal já cadastrada no CCI. O sistema bloqueia auto vínculo, ciclos, uso de outra filial como matriz e conversão de matriz que ainda possua filiais vinculadas.</w:t>
      </w:r>
    </w:p>
    <w:p>
      <w:pPr>
        <w:pStyle w:val="Heading1"/>
      </w:pPr>
      <w:r>
        <w:t>4. Saldos anteriores e implantação da empresa</w:t>
      </w:r>
    </w:p>
    <w:p>
      <w:r>
        <w:t>O saldo anterior representa a posição patrimonial imediatamente anterior ao início da escrituração no CCI. Ele não é uma nova importação bancária e não deve ser repetido em cada mês.</w:t>
      </w:r>
    </w:p>
    <w:p>
      <w:pPr>
        <w:spacing w:after="80" w:line="300" w:lineRule="auto"/>
        <w:numPr>
          <w:ilvl w:val="0"/>
          <w:numId w:val="11"/>
        </w:numPr>
      </w:pPr>
      <w:r>
        <w:t>Ativar a empresa e abrir Cadastro de Empresas.</w:t>
      </w:r>
    </w:p>
    <w:p>
      <w:pPr>
        <w:spacing w:after="80" w:line="300" w:lineRule="auto"/>
        <w:numPr>
          <w:ilvl w:val="0"/>
          <w:numId w:val="11"/>
        </w:numPr>
      </w:pPr>
      <w:r>
        <w:t>Definir Modo contábil como CCI — sistema único e conferir a data de início da escrituração.</w:t>
      </w:r>
    </w:p>
    <w:p>
      <w:pPr>
        <w:spacing w:after="80" w:line="300" w:lineRule="auto"/>
        <w:numPr>
          <w:ilvl w:val="0"/>
          <w:numId w:val="11"/>
        </w:numPr>
      </w:pPr>
      <w:r>
        <w:t>Abrir Contábil &gt; Saldos anteriores; o CCI selecionará automaticamente a competência inicial.</w:t>
      </w:r>
    </w:p>
    <w:p>
      <w:pPr>
        <w:spacing w:after="80" w:line="300" w:lineRule="auto"/>
        <w:numPr>
          <w:ilvl w:val="0"/>
          <w:numId w:val="11"/>
        </w:numPr>
      </w:pPr>
      <w:r>
        <w:t>Informar somente contas analíticas do plano ativo, uma por linha no formato conta;valor.</w:t>
      </w:r>
    </w:p>
    <w:p>
      <w:pPr>
        <w:spacing w:after="80" w:line="300" w:lineRule="auto"/>
        <w:numPr>
          <w:ilvl w:val="0"/>
          <w:numId w:val="11"/>
        </w:numPr>
      </w:pPr>
      <w:r>
        <w:t>Usar valor positivo para saldo devedor e negativo para saldo credor.</w:t>
      </w:r>
    </w:p>
    <w:p>
      <w:pPr>
        <w:spacing w:after="80" w:line="300" w:lineRule="auto"/>
        <w:numPr>
          <w:ilvl w:val="0"/>
          <w:numId w:val="11"/>
        </w:numPr>
      </w:pPr>
      <w:r>
        <w:t>Conferir quantidade, total devedor, total credor e diferença; a diferença deve ser zero.</w:t>
      </w:r>
    </w:p>
    <w:p>
      <w:pPr>
        <w:spacing w:after="80" w:line="300" w:lineRule="auto"/>
        <w:numPr>
          <w:ilvl w:val="0"/>
          <w:numId w:val="11"/>
        </w:numPr>
      </w:pPr>
      <w:r>
        <w:t>Salvar os saldos e aprovar a abertura. A aprovação somente fica disponível na competência inicial.</w:t>
      </w:r>
    </w:p>
    <w:p>
      <w:pPr>
        <w:spacing w:after="80" w:line="300" w:lineRule="auto"/>
        <w:numPr>
          <w:ilvl w:val="0"/>
          <w:numId w:val="11"/>
        </w:numPr>
      </w:pPr>
      <w:r>
        <w:t>Nos meses seguintes, utilizar o transporte automático produzido pelo fechamento; não recadastrar manualmente.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Travas: </w:t>
            </w:r>
            <w:r>
              <w:t>O CCI rejeita conta inexistente, conta sintética, saldo vazio e abertura sem igualdade entre débitos e créditos. Período encerrado ou saldo transportado ficam protegidos contra alteração manual.</w:t>
            </w:r>
          </w:p>
        </w:tc>
      </w:tr>
    </w:tbl>
    <w:p>
      <w:pPr>
        <w:spacing w:after="0"/>
      </w:pPr>
    </w:p>
    <w:p>
      <w:pPr>
        <w:pStyle w:val="Heading1"/>
      </w:pPr>
      <w:r>
        <w:t>5.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6.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No Banco do Brasil, o leiaute Extrato de Conta Corrente (+/-) aceita PDF textual ou escaneado e executa OCR local, sem depender de créditos do Gemini.</w:t>
      </w:r>
    </w:p>
    <w:p>
      <w:pPr>
        <w:spacing w:after="80" w:line="300" w:lineRule="auto"/>
        <w:ind w:left="270"/>
      </w:pPr>
      <w:r>
        <w:t>☐ No Itaú, o leiaute Lançamentos por Período aceita PDF textual ou em imagem, executa OCR local e não depende do Gemini.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 dos extratos em imagem: </w:t>
            </w:r>
            <w:r>
              <w:t>Nos layouts homologados do Banco do Brasil e do Itaú, o CCI reconstrói as linhas pela posição das palavras. A importação permanece bloqueada se saldo anterior + créditos - débitos não coincidir exatamente com o saldo final impresso.</w:t>
            </w:r>
          </w:p>
        </w:tc>
      </w:tr>
    </w:tbl>
    <w:p>
      <w:pPr>
        <w:spacing w:after="0"/>
      </w:pPr>
    </w:p>
    <w:p>
      <w:pPr>
        <w:pStyle w:val="Heading1"/>
      </w:pPr>
      <w:r>
        <w:t>6A.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mercadorias e documentos fiscais da SAGE, selecionar Modelo geral — NF-e de entrada (compras) ou Modelo geral — NF-e de saída (vendas). Os dois modelos atendem todas as empresas.</w:t>
      </w:r>
    </w:p>
    <w:p>
      <w:pPr>
        <w:spacing w:after="80" w:line="300" w:lineRule="auto"/>
        <w:ind w:left="270"/>
      </w:pPr>
      <w:r>
        <w:t>☐ No Livro de Entradas, manter o nome exportado no padrão NNNN_RelatorioNotas...; o código NNNN_ deve coincidir com o Nº da empresa informado no Cadastro do CCI.</w:t>
      </w:r>
    </w:p>
    <w:p>
      <w:pPr>
        <w:spacing w:after="80" w:line="300" w:lineRule="auto"/>
        <w:ind w:left="270"/>
      </w:pPr>
      <w:r>
        <w:t>☐ No Livro de Saídas, o CCI extrai o CNPJ emitente das chaves NF-e e exige igualdade com o CNPJ da empresa ativa.</w:t>
      </w:r>
    </w:p>
    <w:p>
      <w:pPr>
        <w:spacing w:after="80" w:line="300" w:lineRule="auto"/>
        <w:ind w:left="270"/>
      </w:pPr>
      <w:r>
        <w:t>☐ Conferir direção E/S, quantidade de notas, cobertura das chaves, período, CFOP, valor contábil e impostos destacados antes de continuar.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Na Relação de NFs de Serviços Prestados, o CCI preserva base de cálculo, alíquota, valor do ISS e ISS retido; cada ISS retido não zerado gera uma linha própria vinculada à mesma NF e ao tomador.</w:t>
      </w:r>
    </w:p>
    <w:p>
      <w:pPr>
        <w:spacing w:after="80" w:line="300" w:lineRule="auto"/>
        <w:ind w:left="270"/>
      </w:pPr>
      <w:r>
        <w:t>☐ Para retenções sobre serviços tomados, abrir o modal independente Retenções Serviços Tomados. Ele está disponível para qualquer empresa ativa e aceita o Demonstrativo dos Impostos Retidos - Notas de Entradas de Serviços em PDF.</w:t>
      </w:r>
    </w:p>
    <w:p>
      <w:pPr>
        <w:spacing w:after="80" w:line="300" w:lineRule="auto"/>
        <w:ind w:left="270"/>
      </w:pPr>
      <w:r>
        <w:t>☐ No novo modal, validar o CNPJ, o período, a quantidade de notas, o valor bruto, o total retido e o valor líquido antes de continuar para a prévia.</w:t>
      </w:r>
    </w:p>
    <w:p>
      <w:pPr>
        <w:spacing w:after="80" w:line="300" w:lineRule="auto"/>
        <w:ind w:left="270"/>
      </w:pPr>
      <w:r>
        <w:t>☐ Conferir período, quantidade de notas, valor bruto, base de retenção, PIS, COFINS, CSLL, IRRF, INSS, total retido e valor líquido.</w:t>
      </w:r>
    </w:p>
    <w:p>
      <w:pPr>
        <w:spacing w:after="80" w:line="300" w:lineRule="auto"/>
        <w:ind w:left="270"/>
      </w:pPr>
      <w:r>
        <w:t>☐ Na prévia, cada nota gera uma linha de valor bruto e uma linha para cada imposto retido com valor diferente de zero. Impostos zerados permanecem nos dados de origem, sem criar lançamento contábil artificial.</w:t>
      </w:r>
    </w:p>
    <w:p>
      <w:pPr>
        <w:spacing w:after="80" w:line="300" w:lineRule="auto"/>
        <w:ind w:left="270"/>
      </w:pPr>
      <w:r>
        <w:t>☐ Número e modelo da NF, série, tomador, base de retenção e data de compensação acompanham as linhas geradas.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Livro de Entradas: </w:t>
            </w:r>
            <w:r>
              <w:t>A chave NF-e de uma entrada identifica o fornecedor emitente, não a empresa compradora. Por isso, a trava segura usa o código NNNN_ do arquivo contra o Nº da empresa no cadastro ativo, além de exigir estrutura, direção E e cobertura das chaves. Não renomeie o arquivo removendo o código.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Livro de Saídas: </w:t>
            </w:r>
            <w:r>
              <w:t>Nas saídas, a chave NF-e contém o CNPJ da própria empresa emitente. Todas as notas devem possuir chave válida e apontar para um único CNPJ, idêntico ao cadastro ativo.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Serviços tomados: </w:t>
            </w:r>
            <w:r>
              <w:t>O valor bruto da nota é apresentado como despesa e cada retenção não zerada como linha própria que reduz o líquido do fornecedor. O CCI preserva NF, série, CNPJ do fornecedor, datas de pagamento, bases, valores e códigos de retenção; código fiscal não é convertido em histórico contábil.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Classificação contábil: </w:t>
            </w:r>
            <w:r>
              <w:t>O CCI não inventa contas para os impostos. Débito, crédito e histórico devem vir do plano e das regras aprovadas para a empresa; somente depois a classificação pode ser memorizada. No relatório de serviços prestados, confira se o total das linhas de ISS retido coincide com o total oficial impresso pela SAGE.</w:t>
            </w:r>
          </w:p>
        </w:tc>
      </w:tr>
    </w:tbl>
    <w:p>
      <w:pPr>
        <w:spacing w:after="0"/>
      </w:pPr>
    </w:p>
    <w:p>
      <w:pPr>
        <w:pStyle w:val="Heading1"/>
      </w:pPr>
      <w:r>
        <w:t>7.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Cada lançamento recebe uma numeração permanente na empresa. Em Lançamentos, use o filtro Nº do lançamento para localizar diretamente um registro já importado.</w:t>
      </w:r>
    </w:p>
    <w:p>
      <w:pPr>
        <w:spacing w:after="80" w:line="300" w:lineRule="auto"/>
        <w:numPr>
          <w:ilvl w:val="0"/>
          <w:numId w:val="10"/>
        </w:numPr>
      </w:pPr>
      <w:r>
        <w:t>Para editar um lançamento existente, clique no lápis da linha. O CCI preserva a origem da importação, registra os valores anteriores, o usuário e a data da alteração, e bloqueia a edição quando a competência estiver encerrada.</w:t>
      </w:r>
    </w:p>
    <w:p>
      <w:pPr>
        <w:spacing w:after="80" w:line="300" w:lineRule="auto"/>
        <w:numPr>
          <w:ilvl w:val="0"/>
          <w:numId w:val="10"/>
        </w:numPr>
      </w:pPr>
      <w:r>
        <w:t>Lançamentos já memorizados também podem ser corrigidos em lote. Para levar a correção às próximas importações, o administrador deve marcar Atualizar também a memória da empresa; a mudança é auditada e não ocorre silenciosamente.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8.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Usar Conciliação bancária formal, informar conta e saldo final do extrato e aprovar somente quando a diferença for zero.</w:t>
      </w:r>
    </w:p>
    <w:p>
      <w:pPr>
        <w:spacing w:after="80" w:line="300" w:lineRule="auto"/>
        <w:ind w:left="270"/>
      </w:pPr>
      <w:r>
        <w:t>☐ No modal Conciliação de Arquivos, planilhas identificadas como Relatório Pagamentos tratam a coluna Valor como saída. A linha TOTAL não é importada como movimento.</w:t>
      </w:r>
    </w:p>
    <w:p>
      <w:pPr>
        <w:spacing w:after="80" w:line="300" w:lineRule="auto"/>
        <w:ind w:left="270"/>
      </w:pPr>
      <w:r>
        <w:t>☐ Mesmo valor e sentido em datas diferentes por até 10 dias seguem para Revisão manual; somente o colaborador confirma a contraparte correta.</w:t>
      </w:r>
    </w:p>
    <w:p>
      <w:pPr>
        <w:spacing w:after="80" w:line="300" w:lineRule="auto"/>
        <w:ind w:left="270"/>
      </w:pPr>
      <w:r>
        <w:t>☐ No AuditAI, balancetes PDF com texto pesquisável são extraídos localmente. O CCI preserva contas, CNPJ, período e totais oficiais sem depender de créditos do Gemini; a IA fica como contingência para documentos em imagem e para pareceres complementares.</w:t>
      </w:r>
    </w:p>
    <w:p>
      <w:pPr>
        <w:spacing w:after="80" w:line="300" w:lineRule="auto"/>
        <w:ind w:left="270"/>
      </w:pPr>
      <w:r>
        <w:t>☐ No AuditAI, usar a aba Balancete para conferir saldo anterior, débito, crédito e saldo atual. No Balanço, os subtotais e os totais gerais devem coincidir com as linhas oficiais do arquivo.</w:t>
      </w:r>
    </w:p>
    <w:p>
      <w:pPr>
        <w:spacing w:after="80" w:line="300" w:lineRule="auto"/>
        <w:ind w:left="270"/>
      </w:pPr>
      <w:r>
        <w:t>☐ Se o provedor de IA estiver sem cota, o parecer deve mostrar aviso e opção Tentar novamente; os demonstrativos e valores permanecem disponíveis e não podem ficar em branco silenciosamente.</w:t>
      </w:r>
    </w:p>
    <w:p>
      <w:pPr>
        <w:spacing w:after="80" w:line="300" w:lineRule="auto"/>
        <w:ind w:left="270"/>
      </w:pPr>
      <w:r>
        <w:t>☐ Diferenças identificadas, justificadas e corrigidas antes do fechamento; conta já cadastrada para conciliação passa a ser obrigatória nos meses seguintes.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Fechamento e transporte: </w:t>
            </w:r>
            <w:r>
              <w:t>Os relatórios podem ser visualizados antes do fechamento. Ao encerrar, o CCI preserva a fotografia aprovada e gera os saldos da competência seguinte. Esses saldos ficam protegidos; para alterá-los, reabra a competência de origem e respeite a sequência mensal.</w:t>
            </w:r>
          </w:p>
        </w:tc>
      </w:tr>
    </w:tbl>
    <w:p>
      <w:pPr>
        <w:spacing w:after="0"/>
      </w:pPr>
    </w:p>
    <w:p>
      <w:pPr>
        <w:pStyle w:val="Heading1"/>
      </w:pPr>
      <w:r>
        <w:t>9.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p>
      <w:r>
        <w:rPr>
          <w:b/>
        </w:rPr>
        <w:t xml:space="preserve">Simples Nacional: </w:t>
      </w:r>
      <w:r>
        <w:t>Confirmar critério de receita, anexos aplicáveis e revisão das segregações.</w:t>
      </w:r>
    </w:p>
    <w:p>
      <w:r>
        <w:rPr>
          <w:b/>
        </w:rPr>
        <w:t xml:space="preserve">Lucro Presumido: </w:t>
      </w:r>
      <w:r>
        <w:t>Confirmar periodicidade de IRPJ/CSLL, tratamento de PIS/COFINS e revisão de atividades e receitas adicionais.</w:t>
      </w:r>
    </w:p>
    <w:p>
      <w:r>
        <w:rPr>
          <w:b/>
        </w:rPr>
        <w:t xml:space="preserve">Lucro Real: </w:t>
      </w:r>
      <w:r>
        <w:t>Confirmar forma de apuração, tratamento de PIS/COFINS, e-Lalur/e-Lacs e critérios de créditos.</w:t>
      </w:r>
    </w:p>
    <w:p>
      <w:r>
        <w:rPr>
          <w:b/>
        </w:rPr>
        <w:t xml:space="preserve">Isenta: </w:t>
      </w:r>
      <w:r>
        <w:t>Confirmar CNAE, fundamento legal, vigência, documentação e segregação de receitas abrangidas e não abrangidas.</w:t>
      </w:r>
    </w:p>
    <w:p>
      <w:r>
        <w:rPr>
          <w:b/>
        </w:rPr>
        <w:t xml:space="preserve">Imune: </w:t>
      </w:r>
      <w:r>
        <w:t>Confirmar fundamento constitucional, natureza jurídica, documentação e operações eventualmente fora da imunidade.</w:t>
      </w:r>
    </w:p>
    <w:p>
      <w:r>
        <w:rPr>
          <w:b/>
        </w:rPr>
        <w:t xml:space="preserve">Terceiro Setor: </w:t>
      </w:r>
      <w:r>
        <w:t>Confirmar a qualificação complementar como imune, isenta ou tributada; Terceiro Setor, isoladamente, não define o tratamento tributário.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IA orientativa e acesso administrativo: </w:t>
            </w:r>
            <w:r>
              <w:t>Somente administrador confirma a parametrização. Para Isenta, Imune e Terceiro Setor, o Gemini 3.7 cruza o CNAE do CFI com o enquadramento informado e aponta documentos a conferir. O parecer não altera o regime nem substitui a decisão do responsável contábil.</w:t>
            </w:r>
          </w:p>
        </w:tc>
      </w:tr>
    </w:tbl>
    <w:p>
      <w:pPr>
        <w:spacing w:after="0"/>
      </w:pPr>
    </w:p>
    <w:p>
      <w:pPr>
        <w:pStyle w:val="Heading1"/>
      </w:pPr>
      <w:r>
        <w:t>10.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custo, depreciação acumulada e valor contábil. Aquisição, transferência entre contas, depreciação mensal e baixa possuem prévia contábil antes da escrituração.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Aprovação obrigatória: </w:t>
            </w:r>
            <w:r>
              <w:t>A prévia não altera a escrituração. Confira competência, valores e contas de débito e crédito antes de aprovar cada evento. O CCI bloqueia duplicidade e impede lançamento em competência fechada.</w:t>
            </w:r>
          </w:p>
        </w:tc>
      </w:tr>
    </w:tbl>
    <w:p>
      <w:pPr>
        <w:spacing w:after="0"/>
      </w:pPr>
    </w:p>
    <w:p>
      <w:pPr>
        <w:pStyle w:val="Heading1"/>
      </w:pPr>
      <w:r>
        <w:t>11.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12. Balanço de 19/08/2026</w:t>
      </w:r>
    </w:p>
    <w:p>
      <w:r>
        <w:t>O dia terminou com nove entregas publicadas, da v3.4.157 à v3.4.165. Os erros tratados foram reproduzidos com os arquivos enviados pelos colaboradores, transformados em testes permanentes e validados novamente no deploy.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Resultado do dia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Status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De/Para e memória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Acesso restaurado e correção em lote permitida com auditoria.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 e testado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Extratos Itaú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PDF em imagem processado localmente; FI confere sentido e conta bancária.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 e homologado com arquivos reais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Movimento fiscal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ISS retido restaurado; Serviços Tomados aceita CPF; livros gerais de Entradas e Saídas criados.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 e testado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Planilha de pagamentos passa a respeitar saídas e divergências de data vão para revisão manual.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Motor publicado; falta fechamento-piloto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AuditAI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Extração local do balancete, totais oficiais de Ativo/Passivo, aba Balancete e falha visível do parecer.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Publicado; falta homologação operacional ampliada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Implantação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Saldos anteriores acessíveis e aprovação liberada na competência inicial; lançamento importado pode ser localizado e editado.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Publicado; falta uso em empresa-piloto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Qualidade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Suíte integral aprovada e arquivos reais incorporados às regressões.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Controle contínuo ativo</w:t>
            </w:r>
          </w:p>
        </w:tc>
      </w:tr>
    </w:tbl>
    <w:p>
      <w:pPr>
        <w:spacing w:after="0"/>
      </w:pPr>
    </w:p>
    <w:p>
      <w:pPr>
        <w:spacing w:after="80" w:line="300" w:lineRule="auto"/>
        <w:numPr>
          <w:ilvl w:val="0"/>
          <w:numId w:val="10"/>
        </w:numPr>
      </w:pPr>
      <w:r>
        <w:t>Nenhum lançamento, empresa ou memória existente foi excluído automaticamente durante as correções.</w:t>
      </w:r>
    </w:p>
    <w:p>
      <w:pPr>
        <w:spacing w:after="80" w:line="300" w:lineRule="auto"/>
        <w:numPr>
          <w:ilvl w:val="0"/>
          <w:numId w:val="10"/>
        </w:numPr>
      </w:pPr>
      <w:r>
        <w:t>Erros técnicos do provedor de IA deixaram de ser apresentados como se fossem erro do arquivo quando existe processamento local homologado.</w:t>
      </w:r>
    </w:p>
    <w:p>
      <w:pPr>
        <w:spacing w:after="80" w:line="300" w:lineRule="auto"/>
        <w:numPr>
          <w:ilvl w:val="0"/>
          <w:numId w:val="10"/>
        </w:numPr>
      </w:pPr>
      <w:r>
        <w:t>A validação passou a comparar conteúdo importado, arquivo FI e relatório da SAGE antes de concluir a correção.</w:t>
      </w:r>
    </w:p>
    <w:p>
      <w:pPr>
        <w:spacing w:after="80" w:line="300" w:lineRule="auto"/>
        <w:numPr>
          <w:ilvl w:val="0"/>
          <w:numId w:val="10"/>
        </w:numPr>
      </w:pPr>
      <w:r>
        <w:t>Novidades, versão do aplicativo e testes foram atualizados junto com cada publicação.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Status da substituição da SAGE: </w:t>
            </w:r>
            <w:r>
              <w:t>A cobertura funcional é alta, mas a virada definitiva ainda não está autorizada. O próximo ganho real depende de escolher empresas-piloto, aprovar saldos de abertura e completar fechamentos mensais consecutivos, incluindo conciliação, transporte e ativo.</w:t>
            </w:r>
          </w:p>
        </w:tc>
      </w:tr>
    </w:tbl>
    <w:p>
      <w:pPr>
        <w:spacing w:after="0"/>
      </w:pPr>
    </w:p>
    <w:p>
      <w:pPr>
        <w:pStyle w:val="Heading1"/>
      </w:pPr>
      <w:r>
        <w:t>13. Pendências atualizadas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 INICIAR — 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Selecionar 2 ou 3 empresas; aprovar dados de abertura, regime, plano, históricos e competência.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HOMOLOGAÇÃO — 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Motor implementado; comprovar saldo inicial + movimentos = saldo final por conta em fechamentos reais.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HOMOLOGAÇÃO — transporte de saldos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Motor e regressões aprovados; validar passagem entre competências e dezembro/janeiro em fechamento real.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HOMOLOGAÇÃO — eventos do ativo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Integração implementada; aprovar aquisição, transferência, depreciação e baixa em empresa-piloto.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PENDENTE — backup e recuperação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Definir Firestore + cópia externa, agenda, retenção e executar teste documentado de restauração; validar múltiplos usuários e volume.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PENDENTE — virada definitiva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Concluir dois ou três fechamentos consecutivos, revisar relatórios e encerrar todas as pendências críticas.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14. Próxima frente: divisão do trabalho</w:t>
      </w:r>
    </w:p>
    <w:p>
      <w:r>
        <w:rPr>
          <w:b/>
        </w:rPr>
        <w:t xml:space="preserve">1. Pilotos: </w:t>
      </w:r>
      <w:r>
        <w:t>Paulo e equipe escolhem 2 ou 3 empresas e a competência inicial; desenvolvimento prepara o roteiro reproduzível e o painel de pendências.</w:t>
      </w:r>
    </w:p>
    <w:p>
      <w:r>
        <w:rPr>
          <w:b/>
        </w:rPr>
        <w:t xml:space="preserve">2. Cadastros: </w:t>
      </w:r>
      <w:r>
        <w:t>Paulo e equipe aprovam saldos anteriores, regime, plano e históricos; desenvolvimento valida travas, rastreabilidade e consistência.</w:t>
      </w:r>
    </w:p>
    <w:p>
      <w:r>
        <w:rPr>
          <w:b/>
        </w:rPr>
        <w:t xml:space="preserve">3. Comparação: </w:t>
      </w:r>
      <w:r>
        <w:t>Paulo e equipe fornecem extratos, livros e relatórios finais da SAGE; desenvolvimento implementa a conciliação formal e os testes.</w:t>
      </w:r>
    </w:p>
    <w:p>
      <w:r>
        <w:rPr>
          <w:b/>
        </w:rPr>
        <w:t xml:space="preserve">4. Ativo: </w:t>
      </w:r>
      <w:r>
        <w:t>Paulo e equipe definem contas críticas e a política patrimonial; desenvolvimento integra o ativo à prévia, sem decisão contábil automática.</w:t>
      </w:r>
    </w:p>
    <w:p>
      <w:r>
        <w:rPr>
          <w:b/>
        </w:rPr>
        <w:t xml:space="preserve">5. Fechamento: </w:t>
      </w:r>
      <w:r>
        <w:t>Paulo e equipe aprovam relatórios e registram exceções; desenvolvimento corrige, testa, versiona, publica e verifica cada etapa.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v2.18  •  20/08/2026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sha256=e525c4259e3f0efd9cf3f995d86d2f7496e81727f5fe3c24d45d23aa0b0343b3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