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2.2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Regime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Confirmações obrigatórias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Simples Nacional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Critério de receita, anexos aplicáveis e revisão das segregações.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Presumido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Periodicidade de IRPJ/CSLL, tratamento de PIS/COFINS e revisão de atividades e receitas adicionais.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Lucro Real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Forma de apuração, tratamento de PIS/COFINS, e-Lalur/e-Lacs e critérios de créditos.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12. Próxima frente: divisão do trabalho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do Paulo e equipe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 de desenvolvimento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Escolher 2 ou 3 empresas-piloto e a competência inicial.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Preparar roteiro reproduzível e painel de pendências do piloto.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Cadastrar/aprovar saldos anteriores, regime, plano e históricos.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Validar travas, rastreabilidade e consistência desses cadastros.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Fornecer extratos, livros e relatórios finais da SAGE para comparação.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Implementar conciliação formal e testes com os arquivos aprovados.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Definir contas críticas e política do ativo/depreciação.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Integrar o ativo à prévia de lançamentos, sem decisão contábil automática.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Aprovar relatórios e registrar exceções de cada fechamento.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>
              <w:t>Corrigir, testar, versionar, publicar e verificar cada etapa em produção.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v2.2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sha256=4d76bcca1400a9b3da065acdca00df0dff8eb0b3a0f942fe2c7f7fe403cd41d4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