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2454D7"/>
          <w:sz w:val="20"/>
        </w:rPr>
        <w:t>GUIA INTERNO DE OPERAÇÃO E TRANSIÇÃO</w:t>
      </w:r>
    </w:p>
    <w:p>
      <w:pPr>
        <w:spacing w:after="200"/>
        <w:jc w:val="center"/>
      </w:pPr>
      <w:r>
        <w:rPr>
          <w:b/>
          <w:color w:val="0B2545"/>
          <w:sz w:val="56"/>
        </w:rPr>
        <w:t>Manual Operacional do CCI</w:t>
      </w:r>
    </w:p>
    <w:p>
      <w:pPr>
        <w:spacing w:after="200"/>
        <w:jc w:val="center"/>
      </w:pPr>
      <w:r>
        <w:rPr>
          <w:color w:val="2454D7"/>
          <w:sz w:val="28"/>
        </w:rPr>
        <w:t>Operação contábil, transição da SAGE e próximos passos</w:t>
      </w:r>
    </w:p>
    <w:p>
      <w:pPr>
        <w:jc w:val="center"/>
      </w:pPr>
      <w:r>
        <w:rPr>
          <w:color w:val="64748B"/>
          <w:sz w:val="20"/>
        </w:rPr>
        <w:t>Versão 2.3  |  18 de agosto de 2026  |  Uso interno</w:t>
      </w:r>
    </w:p>
    <w:p/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Situação atual: </w:t>
            </w:r>
            <w:r>
              <w:t>A operação cotidiana já cobre importações, classificação, relatórios, fechamento e ECD/ECF. A retirada definitiva da SAGE depende dos fechamentos-piloto, conciliação formal, automação patrimonial e validações operacionais finais.</w:t>
            </w:r>
          </w:p>
        </w:tc>
      </w:tr>
    </w:tbl>
    <w:p>
      <w:pPr>
        <w:spacing w:after="0"/>
      </w:pPr>
    </w:p>
    <w:p/>
    <w:p>
      <w:pPr>
        <w:jc w:val="center"/>
      </w:pPr>
      <w:r>
        <w:rPr>
          <w:b/>
          <w:color w:val="64748B"/>
          <w:sz w:val="18"/>
        </w:rPr>
        <w:t>SP Assessoria Contábil  •  Consultor Contábil Inteligente</w:t>
      </w:r>
    </w:p>
    <w:p>
      <w:r>
        <w:br w:type="page"/>
      </w:r>
    </w:p>
    <w:p>
      <w:pPr>
        <w:pStyle w:val="Heading1"/>
      </w:pPr>
      <w:r>
        <w:t>1. Onde estamos</w:t>
      </w:r>
    </w:p>
    <w:p>
      <w:r>
        <w:t>O CCI deixou de ser somente uma ponte para a SAGE. Hoje ele mantém os lançamentos da empresa, utiliza o plano de contas, reaproveita memórias de classificação, produz relatórios contábeis, controla períodos e possui ECD/ECF em uso operacional.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Regra de comunicação: </w:t>
            </w:r>
            <w:r>
              <w:t>A importação não zera valores. O CCI importa, grava, classifica e acumula movimentos. O que deve chegar a zero são as pendências de classificação e as diferenças de conciliação.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2460"/>
        <w:gridCol w:w="4800"/>
      </w:tblGrid>
      <w:tr>
        <w:trPr>
          <w:cantSplit/>
          <w:tblHeader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Área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Situação atual</w:t>
            </w:r>
          </w:p>
        </w:tc>
        <w:tc>
          <w:tcPr>
            <w:tcW w:type="dxa" w:w="4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Leitura operacional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Importações bancárias e fiscais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Operacional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Recebe arquivos, valida dados e acrescenta os movimentos confirmados.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Plano, históricos e classificação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Operacional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Usa contas e históricos existentes e reaproveita padrões aprovados.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Relatórios contábeis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Operacional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Balancete mensal e anual, Razão, Diário, DRE, Balanço e análise econômico-financeira.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Fechamento mensal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Operacional com travas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Controla competência e bloqueia fechamento exclusivo quando faltam parâmetros obrigatórios.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ECD/ECF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Operacional em uso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Módulo existente e utilizado no último fechamento.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Ativo e depreciação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Em evolução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Cadastro e cálculo existem; lançamentos automáticos ainda dependem de implementação e aprovação.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Conciliação formal e escala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Em evolução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Ainda requer homologação por saldo bancário, concorrência, recuperação e volume.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Prontidão: </w:t>
            </w:r>
            <w:r>
              <w:t>A referência de 78% pertence à avaliação de 17/08/2026. Não elevar o percentual apenas por novas telas; recalcular somente após evidência dos fechamentos-piloto.</w:t>
            </w:r>
          </w:p>
        </w:tc>
      </w:tr>
    </w:tbl>
    <w:p>
      <w:pPr>
        <w:spacing w:after="0"/>
      </w:pPr>
    </w:p>
    <w:p>
      <w:pPr>
        <w:pStyle w:val="Heading1"/>
      </w:pPr>
      <w:r>
        <w:t>2. Entregas concluídas em 18/08/2026</w:t>
      </w:r>
    </w:p>
    <w:p>
      <w:pPr>
        <w:spacing w:after="80" w:line="300" w:lineRule="auto"/>
        <w:numPr>
          <w:ilvl w:val="0"/>
          <w:numId w:val="10"/>
        </w:numPr>
      </w:pPr>
      <w:r>
        <w:t>Modo contábil exclusivo no CCI, com data de início e saldos anteriores obrigatórios.</w:t>
      </w:r>
    </w:p>
    <w:p>
      <w:pPr>
        <w:spacing w:after="80" w:line="300" w:lineRule="auto"/>
        <w:numPr>
          <w:ilvl w:val="0"/>
          <w:numId w:val="10"/>
        </w:numPr>
      </w:pPr>
      <w:r>
        <w:t>Bloqueio de exportação para a SAGE quando a empresa estiver marcada como exclusiva no CCI.</w:t>
      </w:r>
    </w:p>
    <w:p>
      <w:pPr>
        <w:spacing w:after="80" w:line="300" w:lineRule="auto"/>
        <w:numPr>
          <w:ilvl w:val="0"/>
          <w:numId w:val="10"/>
        </w:numPr>
      </w:pPr>
      <w:r>
        <w:t>Painel de prontidão com pendências e próxima ação por empresa.</w:t>
      </w:r>
    </w:p>
    <w:p>
      <w:pPr>
        <w:spacing w:after="80" w:line="300" w:lineRule="auto"/>
        <w:numPr>
          <w:ilvl w:val="0"/>
          <w:numId w:val="10"/>
        </w:numPr>
      </w:pPr>
      <w:r>
        <w:t>Regime tributário sincronizado do cadastro oficial do CFI, sem inferência por porte ou CNAE.</w:t>
      </w:r>
    </w:p>
    <w:p>
      <w:pPr>
        <w:spacing w:after="80" w:line="300" w:lineRule="auto"/>
        <w:numPr>
          <w:ilvl w:val="0"/>
          <w:numId w:val="10"/>
        </w:numPr>
      </w:pPr>
      <w:r>
        <w:t>Parametrizações específicas para Simples Nacional, Lucro Presumido e Lucro Real, confirmadas por administrador.</w:t>
      </w:r>
    </w:p>
    <w:p>
      <w:pPr>
        <w:spacing w:after="80" w:line="300" w:lineRule="auto"/>
        <w:numPr>
          <w:ilvl w:val="0"/>
          <w:numId w:val="10"/>
        </w:numPr>
      </w:pPr>
      <w:r>
        <w:t>Fechamento bloqueado para empresa exclusiva enquanto a parametrização tributária estiver incompleta ou incompatível.</w:t>
      </w:r>
    </w:p>
    <w:p>
      <w:pPr>
        <w:spacing w:after="80" w:line="300" w:lineRule="auto"/>
        <w:numPr>
          <w:ilvl w:val="0"/>
          <w:numId w:val="10"/>
        </w:numPr>
      </w:pPr>
      <w:r>
        <w:t>Novidades e Ajuda CCI, com dúvidas não resolvidas enviadas à curadoria.</w:t>
      </w:r>
    </w:p>
    <w:p>
      <w:pPr>
        <w:spacing w:after="80" w:line="300" w:lineRule="auto"/>
        <w:numPr>
          <w:ilvl w:val="0"/>
          <w:numId w:val="10"/>
        </w:numPr>
      </w:pPr>
      <w:r>
        <w:t>Manual Operacional dentro do CCI, com pesquisa e downloads Word/PDF gerados da mesma fonte oficial.</w:t>
      </w:r>
    </w:p>
    <w:p>
      <w:pPr>
        <w:spacing w:after="80" w:line="300" w:lineRule="auto"/>
        <w:numPr>
          <w:ilvl w:val="0"/>
          <w:numId w:val="10"/>
        </w:numPr>
      </w:pPr>
      <w:r>
        <w:t>Balancete Anual Analítico, com hierarquia do plano de contas, saldos de janeiro a dezembro, resumo e exportações em PDF e Excel.</w:t>
      </w:r>
    </w:p>
    <w:p>
      <w:pPr>
        <w:spacing w:after="80" w:line="300" w:lineRule="auto"/>
        <w:numPr>
          <w:ilvl w:val="0"/>
          <w:numId w:val="10"/>
        </w:numPr>
      </w:pPr>
      <w:r>
        <w:t>Alteração explícita de classificações em lote, com seleção dos campos, confirmação, travas por natureza e auditoria do usuário.</w:t>
      </w:r>
    </w:p>
    <w:p>
      <w:pPr>
        <w:pStyle w:val="Heading1"/>
      </w:pPr>
      <w:r>
        <w:t>3. Conceitos que não devem ser confundidos</w:t>
      </w:r>
    </w:p>
    <w:p>
      <w:r>
        <w:rPr>
          <w:b/>
        </w:rPr>
        <w:t xml:space="preserve">Sessão contábil: </w:t>
      </w:r>
      <w:r>
        <w:t>Conjunto corrente de lançamentos da empresa. Após a confirmação da importação, os registros são acrescentados à sessão e salvos no banco de dados.</w:t>
      </w:r>
    </w:p>
    <w:p>
      <w:r>
        <w:rPr>
          <w:b/>
        </w:rPr>
        <w:t xml:space="preserve">Memória de classificação: </w:t>
      </w:r>
      <w:r>
        <w:t>Regra aprovada para sugerir débito, crédito e histórico quando uma descrição semelhante aparecer novamente. Não substitui o lançamento nem cria valor financeiro isoladamente.</w:t>
      </w:r>
    </w:p>
    <w:p>
      <w:r>
        <w:rPr>
          <w:b/>
        </w:rPr>
        <w:t xml:space="preserve">Registro de importação: </w:t>
      </w:r>
      <w:r>
        <w:t>Identifica arquivo, período e características para controlar duplicidade. A confirmação do usuário continua obrigatória.</w:t>
      </w:r>
    </w:p>
    <w:p>
      <w:r>
        <w:rPr>
          <w:b/>
        </w:rPr>
        <w:t xml:space="preserve">Fechamento contábil: </w:t>
      </w:r>
      <w:r>
        <w:t>Fotografia validada da competência. Depois de fechado, o período fica protegido e só deve ser reaberto por usuário autorizado, com justificativa.</w:t>
      </w:r>
    </w:p>
    <w:p>
      <w:pPr>
        <w:pStyle w:val="Heading1"/>
      </w:pPr>
      <w:r>
        <w:t>4. Fluxo mensal recomendado</w:t>
      </w:r>
    </w:p>
    <w:p>
      <w:pPr>
        <w:spacing w:after="80" w:line="300" w:lineRule="auto"/>
        <w:numPr>
          <w:ilvl w:val="0"/>
          <w:numId w:val="11"/>
        </w:numPr>
      </w:pPr>
      <w:r>
        <w:t>Selecionar e ativar a empresa correta, conferindo CNPJ, plano, regime e competência.</w:t>
      </w:r>
    </w:p>
    <w:p>
      <w:pPr>
        <w:spacing w:after="80" w:line="300" w:lineRule="auto"/>
        <w:numPr>
          <w:ilvl w:val="0"/>
          <w:numId w:val="11"/>
        </w:numPr>
      </w:pPr>
      <w:r>
        <w:t>Para empresa exclusiva, concluir implantação, saldos anteriores e parametrização tributária.</w:t>
      </w:r>
    </w:p>
    <w:p>
      <w:pPr>
        <w:spacing w:after="80" w:line="300" w:lineRule="auto"/>
        <w:numPr>
          <w:ilvl w:val="0"/>
          <w:numId w:val="11"/>
        </w:numPr>
      </w:pPr>
      <w:r>
        <w:t>Importar extratos bancários, livros fiscais e demais fontes, uma por vez.</w:t>
      </w:r>
    </w:p>
    <w:p>
      <w:pPr>
        <w:spacing w:after="80" w:line="300" w:lineRule="auto"/>
        <w:numPr>
          <w:ilvl w:val="0"/>
          <w:numId w:val="11"/>
        </w:numPr>
      </w:pPr>
      <w:r>
        <w:t>Conferir a prévia: banco, conta, período, quantidade e valores.</w:t>
      </w:r>
    </w:p>
    <w:p>
      <w:pPr>
        <w:spacing w:after="80" w:line="300" w:lineRule="auto"/>
        <w:numPr>
          <w:ilvl w:val="0"/>
          <w:numId w:val="11"/>
        </w:numPr>
      </w:pPr>
      <w:r>
        <w:t>Classificar os lançamentos com débito, crédito e histórico adequados.</w:t>
      </w:r>
    </w:p>
    <w:p>
      <w:pPr>
        <w:spacing w:after="80" w:line="300" w:lineRule="auto"/>
        <w:numPr>
          <w:ilvl w:val="0"/>
          <w:numId w:val="11"/>
        </w:numPr>
      </w:pPr>
      <w:r>
        <w:t>Memorizar somente padrões específicos e confiáveis.</w:t>
      </w:r>
    </w:p>
    <w:p>
      <w:pPr>
        <w:spacing w:after="80" w:line="300" w:lineRule="auto"/>
        <w:numPr>
          <w:ilvl w:val="0"/>
          <w:numId w:val="11"/>
        </w:numPr>
      </w:pPr>
      <w:r>
        <w:t>Conciliar saldos e investigar duplicidades, ausências e divergências.</w:t>
      </w:r>
    </w:p>
    <w:p>
      <w:pPr>
        <w:spacing w:after="80" w:line="300" w:lineRule="auto"/>
        <w:numPr>
          <w:ilvl w:val="0"/>
          <w:numId w:val="11"/>
        </w:numPr>
      </w:pPr>
      <w:r>
        <w:t>Emitir Balancete mensal ou anual, Razão, Diário, DRE, Balanço e análises para revisão.</w:t>
      </w:r>
    </w:p>
    <w:p>
      <w:pPr>
        <w:spacing w:after="80" w:line="300" w:lineRule="auto"/>
        <w:numPr>
          <w:ilvl w:val="0"/>
          <w:numId w:val="11"/>
        </w:numPr>
      </w:pPr>
      <w:r>
        <w:t>Corrigir pendências enquanto o período estiver aberto.</w:t>
      </w:r>
    </w:p>
    <w:p>
      <w:pPr>
        <w:spacing w:after="80" w:line="300" w:lineRule="auto"/>
        <w:numPr>
          <w:ilvl w:val="0"/>
          <w:numId w:val="11"/>
        </w:numPr>
      </w:pPr>
      <w:r>
        <w:t>Fechar a competência somente após aprovação contábil e executar as obrigações aplicáveis.</w:t>
      </w:r>
    </w:p>
    <w:p>
      <w:pPr>
        <w:pStyle w:val="Heading1"/>
      </w:pPr>
      <w:r>
        <w:t>5. Importação de extrato bancário</w:t>
      </w:r>
    </w:p>
    <w:p>
      <w:pPr>
        <w:spacing w:after="80" w:line="300" w:lineRule="auto"/>
        <w:ind w:left="270"/>
      </w:pPr>
      <w:r>
        <w:t>☐ Confirmar que a empresa ativa e o CNPJ correspondem ao titular do extrato.</w:t>
      </w:r>
    </w:p>
    <w:p>
      <w:pPr>
        <w:spacing w:after="80" w:line="300" w:lineRule="auto"/>
        <w:ind w:left="270"/>
      </w:pPr>
      <w:r>
        <w:t>☐ Selecionar banco e leiaute apropriados.</w:t>
      </w:r>
    </w:p>
    <w:p>
      <w:pPr>
        <w:spacing w:after="80" w:line="300" w:lineRule="auto"/>
        <w:ind w:left="270"/>
      </w:pPr>
      <w:r>
        <w:t>☐ Conferir período, conta bancária, quantidade de movimentos e totais.</w:t>
      </w:r>
    </w:p>
    <w:p>
      <w:pPr>
        <w:spacing w:after="80" w:line="300" w:lineRule="auto"/>
        <w:ind w:left="270"/>
      </w:pPr>
      <w:r>
        <w:t>☐ Verificar se o mesmo arquivo já foi importado; nunca confirmar novamente sem análise.</w:t>
      </w:r>
    </w:p>
    <w:p>
      <w:pPr>
        <w:spacing w:after="80" w:line="300" w:lineRule="auto"/>
        <w:ind w:left="270"/>
      </w:pPr>
      <w:r>
        <w:t>☐ Confirmar somente quando a prévia estiver correta.</w:t>
      </w:r>
    </w:p>
    <w:p>
      <w:pPr>
        <w:spacing w:after="80" w:line="300" w:lineRule="auto"/>
        <w:ind w:left="270"/>
      </w:pPr>
      <w:r>
        <w:t>☐ Verificar os lançamentos gravados e classificar antes do fechamento.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Resultado esperado: </w:t>
            </w:r>
            <w:r>
              <w:t>Os movimentos confirmados permanecem na base da empresa, podem ser consultados e alimentam os relatórios. Exportar para a SAGE não consome nem apaga esses lançamentos.</w:t>
            </w:r>
          </w:p>
        </w:tc>
      </w:tr>
    </w:tbl>
    <w:p>
      <w:pPr>
        <w:spacing w:after="0"/>
      </w:pPr>
    </w:p>
    <w:p>
      <w:pPr>
        <w:pStyle w:val="Heading1"/>
      </w:pPr>
      <w:r>
        <w:t>5A. Importação de movimento fiscal</w:t>
      </w:r>
    </w:p>
    <w:p>
      <w:pPr>
        <w:spacing w:after="80" w:line="300" w:lineRule="auto"/>
        <w:ind w:left="270"/>
      </w:pPr>
      <w:r>
        <w:t>☐ Ativar a empresa correta e conferir o CNPJ antes de selecionar o arquivo.</w:t>
      </w:r>
    </w:p>
    <w:p>
      <w:pPr>
        <w:spacing w:after="80" w:line="300" w:lineRule="auto"/>
        <w:ind w:left="270"/>
      </w:pPr>
      <w:r>
        <w:t>☐ Abrir Importações - Movimento Fiscal e escolher o modelo correspondente ao relatório.</w:t>
      </w:r>
    </w:p>
    <w:p>
      <w:pPr>
        <w:spacing w:after="80" w:line="300" w:lineRule="auto"/>
        <w:ind w:left="270"/>
      </w:pPr>
      <w:r>
        <w:t>☐ Para o Demonstrativo de Impostos Retidos da SAGE, usar o modelo geral Impostos retidos em notas de serviços.</w:t>
      </w:r>
    </w:p>
    <w:p>
      <w:pPr>
        <w:spacing w:after="80" w:line="300" w:lineRule="auto"/>
        <w:ind w:left="270"/>
      </w:pPr>
      <w:r>
        <w:t>☐ Conferir período, quantidade de notas, valor total, base de retenção, PIS, COFINS, CSLL, IRRF e INSS.</w:t>
      </w:r>
    </w:p>
    <w:p>
      <w:pPr>
        <w:spacing w:after="80" w:line="300" w:lineRule="auto"/>
        <w:ind w:left="270"/>
      </w:pPr>
      <w:r>
        <w:t>☐ Não continuar se o CNPJ do cabeçalho divergir da empresa ativa ou se qualquer total oficial não fechar.</w:t>
      </w:r>
    </w:p>
    <w:p>
      <w:pPr>
        <w:spacing w:after="80" w:line="300" w:lineRule="auto"/>
        <w:ind w:left="270"/>
      </w:pPr>
      <w:r>
        <w:t>☐ Revisar a prévia antes de confirmar a gravação dos lançamentos.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Modelo geral: </w:t>
            </w:r>
            <w:r>
              <w:t>O código e o nome da empresa impressos no relatório são informativos. A liberação depende do CNPJ do cabeçalho ser idêntico ao cadastro da empresa ativa e de todos os totais oficiais estarem conciliados.</w:t>
            </w:r>
          </w:p>
        </w:tc>
      </w:tr>
    </w:tbl>
    <w:p>
      <w:pPr>
        <w:spacing w:after="0"/>
      </w:pPr>
    </w:p>
    <w:p>
      <w:pPr>
        <w:pStyle w:val="Heading1"/>
      </w:pPr>
      <w:r>
        <w:t>6. Classificação e memorização</w:t>
      </w:r>
    </w:p>
    <w:p>
      <w:pPr>
        <w:spacing w:after="80" w:line="300" w:lineRule="auto"/>
        <w:numPr>
          <w:ilvl w:val="0"/>
          <w:numId w:val="10"/>
        </w:numPr>
      </w:pPr>
      <w:r>
        <w:t>Utilizar contas existentes e ativas no plano da empresa.</w:t>
      </w:r>
    </w:p>
    <w:p>
      <w:pPr>
        <w:spacing w:after="80" w:line="300" w:lineRule="auto"/>
        <w:numPr>
          <w:ilvl w:val="0"/>
          <w:numId w:val="10"/>
        </w:numPr>
      </w:pPr>
      <w:r>
        <w:t>Não usar a mesma conta no débito e no crédito.</w:t>
      </w:r>
    </w:p>
    <w:p>
      <w:pPr>
        <w:spacing w:after="80" w:line="300" w:lineRule="auto"/>
        <w:numPr>
          <w:ilvl w:val="0"/>
          <w:numId w:val="10"/>
        </w:numPr>
      </w:pPr>
      <w:r>
        <w:t>Revisar sentido bancário e natureza da operação antes de memorizar.</w:t>
      </w:r>
    </w:p>
    <w:p>
      <w:pPr>
        <w:spacing w:after="80" w:line="300" w:lineRule="auto"/>
        <w:numPr>
          <w:ilvl w:val="0"/>
          <w:numId w:val="10"/>
        </w:numPr>
      </w:pPr>
      <w:r>
        <w:t>Para alterar duas ou mais linhas, marque os lançamentos e use Alterar selecionados; escolha somente os campos que serão replicados e confirme a quantidade.</w:t>
      </w:r>
    </w:p>
    <w:p>
      <w:pPr>
        <w:spacing w:after="80" w:line="300" w:lineRule="auto"/>
        <w:numPr>
          <w:ilvl w:val="0"/>
          <w:numId w:val="10"/>
        </w:numPr>
      </w:pPr>
      <w:r>
        <w:t>A alteração em lote preserva data, valor, descrição e documento. Contas só podem ser aplicadas quando todos os selecionados tiverem a mesma natureza.</w:t>
      </w:r>
    </w:p>
    <w:p>
      <w:pPr>
        <w:spacing w:after="80" w:line="300" w:lineRule="auto"/>
        <w:numPr>
          <w:ilvl w:val="0"/>
          <w:numId w:val="10"/>
        </w:numPr>
      </w:pPr>
      <w:r>
        <w:t>Descrições como Cobrança, Pagamento ou Transferência são genéricas; conservar fornecedor, cliente, documento ou identificador.</w:t>
      </w:r>
    </w:p>
    <w:p>
      <w:pPr>
        <w:spacing w:after="80" w:line="300" w:lineRule="auto"/>
        <w:numPr>
          <w:ilvl w:val="0"/>
          <w:numId w:val="10"/>
        </w:numPr>
      </w:pPr>
      <w:r>
        <w:t>Memorizar somente quando a regra se repete e não depende de exceção.</w:t>
      </w:r>
    </w:p>
    <w:p>
      <w:pPr>
        <w:spacing w:after="80" w:line="300" w:lineRule="auto"/>
        <w:numPr>
          <w:ilvl w:val="0"/>
          <w:numId w:val="10"/>
        </w:numPr>
      </w:pPr>
      <w:r>
        <w:t>Se o padrão estiver incorreto, interromper o uso em massa e solicitar revisão administrativa.</w:t>
      </w:r>
    </w:p>
    <w:p>
      <w:pPr>
        <w:pStyle w:val="Heading1"/>
      </w:pPr>
      <w:r>
        <w:t>7. Conciliação, relatórios e fechamento</w:t>
      </w:r>
    </w:p>
    <w:p>
      <w:r>
        <w:t>Débitos e créditos iguais não provam que a contabilidade está correta. Ainda podem existir conta incorreta, duplicidade, ausência de movimento ou diferença bancária.</w:t>
      </w:r>
    </w:p>
    <w:p>
      <w:pPr>
        <w:spacing w:after="80" w:line="300" w:lineRule="auto"/>
        <w:ind w:left="270"/>
      </w:pPr>
      <w:r>
        <w:t>☐ Saldo inicial do CCI igual ao saldo inicial do extrato.</w:t>
      </w:r>
    </w:p>
    <w:p>
      <w:pPr>
        <w:spacing w:after="80" w:line="300" w:lineRule="auto"/>
        <w:ind w:left="270"/>
      </w:pPr>
      <w:r>
        <w:t>☐ Movimentos completos e sem duplicidade.</w:t>
      </w:r>
    </w:p>
    <w:p>
      <w:pPr>
        <w:spacing w:after="80" w:line="300" w:lineRule="auto"/>
        <w:ind w:left="270"/>
      </w:pPr>
      <w:r>
        <w:t>☐ Entradas e saídas nas contrapartidas corretas.</w:t>
      </w:r>
    </w:p>
    <w:p>
      <w:pPr>
        <w:spacing w:after="80" w:line="300" w:lineRule="auto"/>
        <w:ind w:left="270"/>
      </w:pPr>
      <w:r>
        <w:t>☐ Saldo final calculado igual ao saldo final do banco.</w:t>
      </w:r>
    </w:p>
    <w:p>
      <w:pPr>
        <w:spacing w:after="80" w:line="300" w:lineRule="auto"/>
        <w:ind w:left="270"/>
      </w:pPr>
      <w:r>
        <w:t>☐ Diferenças identificadas, justificadas e corrigidas antes do fechamento.</w:t>
      </w:r>
    </w:p>
    <w:p>
      <w:pPr>
        <w:spacing w:after="80" w:line="300" w:lineRule="auto"/>
        <w:ind w:left="270"/>
      </w:pPr>
      <w:r>
        <w:t>☐ Balancete mensal ou anual, Razão, Diário, DRE e Balanço revisados.</w:t>
      </w:r>
    </w:p>
    <w:p>
      <w:pPr>
        <w:spacing w:after="80" w:line="300" w:lineRule="auto"/>
        <w:ind w:left="270"/>
      </w:pPr>
      <w:r>
        <w:t>☐ Competência correta e parametrização obrigatória concluída.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Relatório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Finalidade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Balancete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Conferir saldos anteriores, débitos, créditos e saldos atuais pela estrutura de contas.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Balancete Anual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Comparar os saldos finais de janeiro a dezembro, com transporte mensal, hierarquia do plano e resumo por grupos.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Razão Analítico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Examinar movimentação e composição do saldo de cada conta.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Livro Diário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Visualizar lançamentos em ordem cronológica.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DRE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Apurar e analisar o resultado do período.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Balanço Patrimonial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Conferir a posição patrimonial e a igualdade contábil.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Análise Econômico-Financeira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Avaliar indicadores extraídos dos demonstrativos.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Período aberto: </w:t>
            </w:r>
            <w:r>
              <w:t>Os relatórios podem ser visualizados antes do fechamento. O fechamento preserva a versão aprovada; não é necessário esperar para revisar.</w:t>
            </w:r>
          </w:p>
        </w:tc>
      </w:tr>
    </w:tbl>
    <w:p>
      <w:pPr>
        <w:spacing w:after="0"/>
      </w:pPr>
    </w:p>
    <w:p>
      <w:pPr>
        <w:pStyle w:val="Heading1"/>
      </w:pPr>
      <w:r>
        <w:t>8. Regime tributário e parametrizações</w:t>
      </w:r>
    </w:p>
    <w:p>
      <w:r>
        <w:t>O regime tributário vem do cadastro oficial do CFI. O CCI não deve inferir enquadramento por porte, CNAE ou movimentação. Divergências devem ser corrigidas no CFI e sincronizadas novamente.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Regime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Confirmações obrigatórias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Simples Nacional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Critério de receita, anexos aplicáveis e revisão das segregações.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Lucro Presumido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Periodicidade de IRPJ/CSLL, tratamento de PIS/COFINS e revisão de atividades e receitas adicionais.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Lucro Real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Forma de apuração, tratamento de PIS/COFINS, e-Lalur/e-Lacs e critérios de créditos.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Acesso administrativo: </w:t>
            </w:r>
            <w:r>
              <w:t>Somente administrador confirma a parametrização. O CCI registra pendências e bloqueia o fechamento exclusivo, mas não inventa anexos, percentuais, créditos ou exceções fiscais.</w:t>
            </w:r>
          </w:p>
        </w:tc>
      </w:tr>
    </w:tbl>
    <w:p>
      <w:pPr>
        <w:spacing w:after="0"/>
      </w:pPr>
    </w:p>
    <w:p>
      <w:pPr>
        <w:pStyle w:val="Heading1"/>
      </w:pPr>
      <w:r>
        <w:t>9. ECD/ECF, ativo e depreciação</w:t>
      </w:r>
    </w:p>
    <w:p>
      <w:r>
        <w:t>A ECD/ECF faz parte da operação atual. Conferir matriz, filiais, CNPJ, período, registros estruturais, validações internas e PVA; preservar arquivo transmitido, recibo e relatório de validação.</w:t>
      </w:r>
    </w:p>
    <w:p>
      <w:r>
        <w:t>O módulo patrimonial cadastra bens, vida útil, valor residual e contas, acompanhando depreciação acumulada, valor contábil e baixa. Nesta etapa, cadastro e cálculo não substituem os lançamentos contábeis mensais.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Até a automação: </w:t>
            </w:r>
            <w:r>
              <w:t>O colaborador deve calcular, revisar e lançar a depreciação na escrituração, vinculando despesa e depreciação acumulada. O cadastro do bem, isoladamente, não atualiza os relatórios.</w:t>
            </w:r>
          </w:p>
        </w:tc>
      </w:tr>
    </w:tbl>
    <w:p>
      <w:pPr>
        <w:spacing w:after="0"/>
      </w:pPr>
    </w:p>
    <w:p>
      <w:pPr>
        <w:pStyle w:val="Heading1"/>
      </w:pPr>
      <w:r>
        <w:t>10. Permissões e segurança</w:t>
      </w:r>
    </w:p>
    <w:p>
      <w:r>
        <w:t>O usuário deve autenticar novamente a cada novo acesso. Nunca compartilhar senha, token, arquivo bancário ou dado pessoal na Ajuda CCI.</w:t>
      </w:r>
    </w:p>
    <w:p>
      <w:pPr>
        <w:spacing w:after="80" w:line="300" w:lineRule="auto"/>
        <w:numPr>
          <w:ilvl w:val="0"/>
          <w:numId w:val="10"/>
        </w:numPr>
      </w:pPr>
      <w:r>
        <w:t>Ações comuns seguem as permissões da empresa e do módulo.</w:t>
      </w:r>
    </w:p>
    <w:p>
      <w:pPr>
        <w:spacing w:after="80" w:line="300" w:lineRule="auto"/>
        <w:numPr>
          <w:ilvl w:val="0"/>
          <w:numId w:val="10"/>
        </w:numPr>
      </w:pPr>
      <w:r>
        <w:t>Gerenciar usuários e responsáveis, excluir empresa/plano, excluir em massa, trocar plano, homologar leiaute e reabrir período são ações administrativas.</w:t>
      </w:r>
    </w:p>
    <w:p>
      <w:pPr>
        <w:spacing w:after="80" w:line="300" w:lineRule="auto"/>
        <w:numPr>
          <w:ilvl w:val="0"/>
          <w:numId w:val="10"/>
        </w:numPr>
      </w:pPr>
      <w:r>
        <w:t>Ao receber aviso de acesso restrito, procurar um administrador e informar empresa, tela e ação desejada.</w:t>
      </w:r>
    </w:p>
    <w:p>
      <w:pPr>
        <w:spacing w:after="80" w:line="300" w:lineRule="auto"/>
        <w:numPr>
          <w:ilvl w:val="0"/>
          <w:numId w:val="10"/>
        </w:numPr>
      </w:pPr>
      <w:r>
        <w:t>Reabertura deve ser excepcional, justificada e seguida de nova emissão dos relatórios.</w:t>
      </w:r>
    </w:p>
    <w:p>
      <w:pPr>
        <w:pStyle w:val="Heading1"/>
      </w:pPr>
      <w:r>
        <w:t>11. Pendências para substituir definitivamente a SAGE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2460"/>
        <w:gridCol w:w="4800"/>
      </w:tblGrid>
      <w:tr>
        <w:trPr>
          <w:cantSplit/>
          <w:tblHeader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Prioridade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Pendência</w:t>
            </w:r>
          </w:p>
        </w:tc>
        <w:tc>
          <w:tcPr>
            <w:tcW w:type="dxa" w:w="4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Critério de conclusão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1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Empresas-piloto exclusivas no CCI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Dados de abertura, regime, plano, históricos e competência aprovados.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2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Conciliação bancária formal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Saldo inicial + movimentos = saldo final por conta, sem diferença não justificada.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3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Transporte de saldos e livro permanente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Passagem entre competências/exercícios com autoria, versão e trilha auditável.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4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Ativo integrado à escrituração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Aquisição, depreciação, transferência e baixa geradas com prévia e aprovação.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5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Homologação operacional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Backup/restauração, múltiplos usuários, permissões, falhas e volume testados.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6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Virada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Dois ou três fechamentos consecutivos aprovados e sem pendência crítica.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Decisão de virada: </w:t>
            </w:r>
            <w:r>
              <w:t>A SAGE permanece como referência paralela durante a homologação. Depois dos critérios de saída, o CCI passa a ser a fonte principal e a SAGE fica somente para consulta histórica.</w:t>
            </w:r>
          </w:p>
        </w:tc>
      </w:tr>
    </w:tbl>
    <w:p>
      <w:pPr>
        <w:spacing w:after="0"/>
      </w:pPr>
    </w:p>
    <w:p>
      <w:pPr>
        <w:pStyle w:val="Heading1"/>
      </w:pPr>
      <w:r>
        <w:t>12. Próxima frente: divisão do trabalho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Frente do Paulo e equipe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Frente de desenvolvimento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Escolher 2 ou 3 empresas-piloto e a competência inicial.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Preparar roteiro reproduzível e painel de pendências do piloto.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Cadastrar/aprovar saldos anteriores, regime, plano e históricos.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Validar travas, rastreabilidade e consistência desses cadastros.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Fornecer extratos, livros e relatórios finais da SAGE para comparação.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Implementar conciliação formal e testes com os arquivos aprovados.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Definir contas críticas e política do ativo/depreciação.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Integrar o ativo à prévia de lançamentos, sem decisão contábil automática.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Aprovar relatórios e registrar exceções de cada fechamento.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Corrigir, testar, versionar, publicar e verificar cada etapa em produção.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Próxima ação conjunta: </w:t>
            </w:r>
            <w:r>
              <w:t>Selecionar a primeira empresa de 2026 que ainda não iniciou na SAGE, marcá-la como exclusiva no CCI e concluir seu cadastro de abertura antes da primeira importação.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>Uso interno  •  v2.3  •  18/08/2026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b/>
        <w:color w:val="64748B"/>
        <w:sz w:val="16"/>
      </w:rPr>
      <w:t>CCI  |  MANUAL OPERACIONAL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0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ind w:left="0" w:firstLine="0"/>
      <w:outlineLvl w:val="0"/>
    </w:pPr>
    <w:rPr>
      <w:rFonts w:asciiTheme="majorHAnsi" w:eastAsiaTheme="majorEastAsia" w:hAnsiTheme="majorHAnsi" w:cstheme="majorBidi" w:ascii="Calibri" w:hAnsi="Calibri"/>
      <w:b/>
      <w:bCs/>
      <w:color w:val="2454D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ind w:left="0" w:firstLine="0"/>
      <w:outlineLvl w:val="1"/>
    </w:pPr>
    <w:rPr>
      <w:rFonts w:asciiTheme="majorHAnsi" w:eastAsiaTheme="majorEastAsia" w:hAnsiTheme="majorHAnsi" w:cstheme="majorBidi" w:ascii="Calibri" w:hAnsi="Calibri"/>
      <w:b/>
      <w:bCs/>
      <w:color w:val="2454D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ind w:left="0" w:firstLine="0"/>
      <w:outlineLvl w:val="2"/>
    </w:pPr>
    <w:rPr>
      <w:rFonts w:asciiTheme="majorHAnsi" w:eastAsiaTheme="majorEastAsia" w:hAnsiTheme="majorHAnsi" w:cstheme="majorBidi" w:ascii="Calibri" w:hAnsi="Calibri"/>
      <w:b/>
      <w:bCs/>
      <w:color w:val="0B2545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Operacional do CCI</dc:title>
  <dc:subject>Operação contábil, transição da SAGE e próximos passos</dc:subject>
  <dc:creator>SP Assessoria Contábil</dc:creator>
  <cp:keywords/>
  <dc:description>Fonte oficial: manual-cci-conteudo.json; sha256=fdff08b56451480a917c19f9ad23ae56fcea61fc234eff4a2fa5fd0b91acce06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