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Contexte :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 Le Kenya a réformé son code de l'immigration en 2020 via l'introduction du </w:t>
      </w:r>
      <w:r w:rsidDel="00000000" w:rsidR="00000000" w:rsidRPr="00000000">
        <w:rPr>
          <w:i w:val="1"/>
          <w:rtl w:val="0"/>
        </w:rPr>
        <w:t xml:space="preserve">Refugee Act</w:t>
      </w:r>
      <w:r w:rsidDel="00000000" w:rsidR="00000000" w:rsidRPr="00000000">
        <w:rPr>
          <w:rtl w:val="0"/>
        </w:rPr>
        <w:t xml:space="preserve">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Ce </w:t>
      </w:r>
      <w:r w:rsidDel="00000000" w:rsidR="00000000" w:rsidRPr="00000000">
        <w:rPr>
          <w:i w:val="1"/>
          <w:rtl w:val="0"/>
        </w:rPr>
        <w:t xml:space="preserve">Refugee Act</w:t>
      </w:r>
      <w:r w:rsidDel="00000000" w:rsidR="00000000" w:rsidRPr="00000000">
        <w:rPr>
          <w:rtl w:val="0"/>
        </w:rPr>
        <w:t xml:space="preserve"> ouvre un nombre important de nouveaux droit aux réfugiés présents au Kenya ;</w:t>
      </w:r>
    </w:p>
    <w:p w:rsidR="00000000" w:rsidDel="00000000" w:rsidP="00000000" w:rsidRDefault="00000000" w:rsidRPr="00000000" w14:paraId="00000005">
      <w:pPr>
        <w:numPr>
          <w:ilvl w:val="0"/>
          <w:numId w:val="4"/>
        </w:numPr>
        <w:ind w:left="720" w:hanging="360"/>
        <w:jc w:val="both"/>
        <w:rPr>
          <w:u w:val="none"/>
        </w:rPr>
      </w:pPr>
      <w:r w:rsidDel="00000000" w:rsidR="00000000" w:rsidRPr="00000000">
        <w:rPr>
          <w:rtl w:val="0"/>
        </w:rPr>
        <w:t xml:space="preserve">Ce Refugee Act n'est en réalité pas appliqué et la situation au quotidien pour les réfugiés n'a pas changé au Kenya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Le Kenya structure sa politique d'accueil de Réfugiés autour d'un système de camps : les réfugiés sont assignés à un camp dans le pays à leur arrivée. Ce système de camp est la norme dans de nombreux pays. Ces camps peuvent prendre des proportions très importantes, accueillir plusieurs centaines de milliers de personnes et il convient mieux de les considérer comme des quasi zones-urbaines. Les camps les plus connus au Kenya sont </w:t>
      </w:r>
      <w:hyperlink r:id="rId6">
        <w:r w:rsidDel="00000000" w:rsidR="00000000" w:rsidRPr="00000000">
          <w:rPr>
            <w:color w:val="1155cc"/>
            <w:u w:val="single"/>
            <w:rtl w:val="0"/>
          </w:rPr>
          <w:t xml:space="preserve">Dadaab </w:t>
        </w:r>
      </w:hyperlink>
      <w:r w:rsidDel="00000000" w:rsidR="00000000" w:rsidRPr="00000000">
        <w:rPr>
          <w:rtl w:val="0"/>
        </w:rPr>
        <w:t xml:space="preserve">(Garissa County) </w:t>
      </w:r>
      <w:r w:rsidDel="00000000" w:rsidR="00000000" w:rsidRPr="00000000">
        <w:rPr>
          <w:rtl w:val="0"/>
        </w:rPr>
        <w:t xml:space="preserve">et </w:t>
      </w:r>
      <w:hyperlink r:id="rId7">
        <w:r w:rsidDel="00000000" w:rsidR="00000000" w:rsidRPr="00000000">
          <w:rPr>
            <w:color w:val="1155cc"/>
            <w:u w:val="single"/>
            <w:rtl w:val="0"/>
          </w:rPr>
          <w:t xml:space="preserve">Kakuma</w:t>
        </w:r>
      </w:hyperlink>
      <w:r w:rsidDel="00000000" w:rsidR="00000000" w:rsidRPr="00000000">
        <w:rPr>
          <w:rtl w:val="0"/>
        </w:rPr>
        <w:t xml:space="preserve"> (Turkana County);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Données :</w:t>
      </w:r>
      <w:r w:rsidDel="00000000" w:rsidR="00000000" w:rsidRPr="00000000">
        <w:rPr>
          <w:rtl w:val="0"/>
        </w:rPr>
        <w:t xml:space="preserve"> la Banque Mondiale et le UNHCR ont produit une nouvelle enquête qui interroge les réfugiés comme les kenyans sur les mêmes dimensions : KENYA LONGITUDINAL SOCIOECONOMIC STUDY OF REFUGEES AND HOST COMMUNITIES (K-LSRH) INSTRUMENT.</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Cette base de données vient tout juste d'être mise à disposition de la communauté des acteurs du développement et de la recherche.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Cette base de données couvre de nombreuses dimensions dont la consommation des ménages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Toutes les informations sont disponibles </w:t>
      </w:r>
      <w:hyperlink r:id="rId8">
        <w:r w:rsidDel="00000000" w:rsidR="00000000" w:rsidRPr="00000000">
          <w:rPr>
            <w:color w:val="1155cc"/>
            <w:u w:val="single"/>
            <w:rtl w:val="0"/>
          </w:rPr>
          <w:t xml:space="preserve">ici</w:t>
        </w:r>
      </w:hyperlink>
      <w:r w:rsidDel="00000000" w:rsidR="00000000" w:rsidRPr="00000000">
        <w:rPr>
          <w:rtl w:val="0"/>
        </w:rPr>
        <w:t xml:space="preserve"> !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L'idée générale est de comprendre les gaps en terme de consommation entre les réfugiés et les Kenyans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Objectif 1 :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Explorer si les données de </w:t>
      </w:r>
      <w:r w:rsidDel="00000000" w:rsidR="00000000" w:rsidRPr="00000000">
        <w:rPr>
          <w:u w:val="single"/>
          <w:rtl w:val="0"/>
        </w:rPr>
        <w:t xml:space="preserve">consommation </w:t>
      </w:r>
      <w:r w:rsidDel="00000000" w:rsidR="00000000" w:rsidRPr="00000000">
        <w:rPr>
          <w:rtl w:val="0"/>
        </w:rPr>
        <w:t xml:space="preserve">de ménages sont de bonne qualité pour les réfugiés ET les kenyans : missing value, min/max, distribution cohérentes etc ...</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Peut-on les grouper par type de consommation ? (nourriture, énergie, service .. etc ...)  </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Explorer si les données concernant les </w:t>
      </w:r>
      <w:r w:rsidDel="00000000" w:rsidR="00000000" w:rsidRPr="00000000">
        <w:rPr>
          <w:u w:val="single"/>
          <w:rtl w:val="0"/>
        </w:rPr>
        <w:t xml:space="preserve">revenus </w:t>
      </w:r>
      <w:r w:rsidDel="00000000" w:rsidR="00000000" w:rsidRPr="00000000">
        <w:rPr>
          <w:rtl w:val="0"/>
        </w:rPr>
        <w:t xml:space="preserve">sont exploitables : peut-on élaborer une mesure du revenu des ménages ; peut-on distinguer les revenus issus du marché formel vs du marché informel ?</w:t>
      </w:r>
    </w:p>
    <w:p w:rsidR="00000000" w:rsidDel="00000000" w:rsidP="00000000" w:rsidRDefault="00000000" w:rsidRPr="00000000" w14:paraId="00000017">
      <w:pPr>
        <w:ind w:left="0" w:firstLine="0"/>
        <w:jc w:val="both"/>
        <w:rPr>
          <w:b w:val="1"/>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Objectif 2 : </w:t>
      </w:r>
    </w:p>
    <w:p w:rsidR="00000000" w:rsidDel="00000000" w:rsidP="00000000" w:rsidRDefault="00000000" w:rsidRPr="00000000" w14:paraId="00000019">
      <w:pPr>
        <w:numPr>
          <w:ilvl w:val="0"/>
          <w:numId w:val="5"/>
        </w:numPr>
        <w:ind w:left="720" w:hanging="360"/>
        <w:jc w:val="both"/>
        <w:rPr>
          <w:u w:val="none"/>
        </w:rPr>
      </w:pPr>
      <w:r w:rsidDel="00000000" w:rsidR="00000000" w:rsidRPr="00000000">
        <w:rPr>
          <w:rtl w:val="0"/>
        </w:rPr>
        <w:t xml:space="preserve">Élaborer la distribution de la consommation des ménages en fonction de leurs revenus : d'abord par quartile puis éventuellement par décile =&gt; on cherche la consommation moyenne pour chaque item / groupe d'item (par exemple énergie, nourriture etc ...) par décile. =&gt; représentation dans une table ;</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Distinguer réfugiés et kenyans/hôte selon le même découpage par quartile et décile ;</w:t>
      </w:r>
    </w:p>
    <w:p w:rsidR="00000000" w:rsidDel="00000000" w:rsidP="00000000" w:rsidRDefault="00000000" w:rsidRPr="00000000" w14:paraId="0000001B">
      <w:pPr>
        <w:numPr>
          <w:ilvl w:val="0"/>
          <w:numId w:val="5"/>
        </w:numPr>
        <w:ind w:left="720" w:hanging="360"/>
        <w:jc w:val="both"/>
        <w:rPr>
          <w:u w:val="none"/>
        </w:rPr>
      </w:pPr>
      <w:r w:rsidDel="00000000" w:rsidR="00000000" w:rsidRPr="00000000">
        <w:rPr>
          <w:rtl w:val="0"/>
        </w:rPr>
        <w:t xml:space="preserve">Contrôler autant que possible par des effets fixe régionaux pour comparer des ménages au sein de la même zone géographique ;</w:t>
      </w:r>
    </w:p>
    <w:p w:rsidR="00000000" w:rsidDel="00000000" w:rsidP="00000000" w:rsidRDefault="00000000" w:rsidRPr="00000000" w14:paraId="0000001C">
      <w:pPr>
        <w:numPr>
          <w:ilvl w:val="0"/>
          <w:numId w:val="5"/>
        </w:numPr>
        <w:ind w:left="720" w:hanging="360"/>
        <w:jc w:val="both"/>
        <w:rPr>
          <w:u w:val="none"/>
        </w:rPr>
      </w:pPr>
      <w:r w:rsidDel="00000000" w:rsidR="00000000" w:rsidRPr="00000000">
        <w:rPr>
          <w:rtl w:val="0"/>
        </w:rPr>
        <w:t xml:space="preserve">Construire des courbes d'Engel de la consommation des ménages.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Objectif 3 </w:t>
      </w:r>
    </w:p>
    <w:p w:rsidR="00000000" w:rsidDel="00000000" w:rsidP="00000000" w:rsidRDefault="00000000" w:rsidRPr="00000000" w14:paraId="0000001F">
      <w:pPr>
        <w:numPr>
          <w:ilvl w:val="0"/>
          <w:numId w:val="3"/>
        </w:numPr>
        <w:ind w:left="720" w:hanging="360"/>
        <w:jc w:val="both"/>
        <w:rPr>
          <w:b w:val="1"/>
          <w:u w:val="none"/>
        </w:rPr>
      </w:pPr>
      <w:r w:rsidDel="00000000" w:rsidR="00000000" w:rsidRPr="00000000">
        <w:rPr>
          <w:b w:val="1"/>
          <w:rtl w:val="0"/>
        </w:rPr>
        <w:t xml:space="preserve"> À définir =&gt; mais globalement comprendre comment une augmentation du revenu des réfugiés peut mener à une augmentation de la consommation et dans quel(s) secteur(s)</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Carte 1 : Le Kenya et ses principaux camps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148637</wp:posOffset>
            </wp:positionV>
            <wp:extent cx="2667000" cy="28765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67000" cy="2876550"/>
                    </a:xfrm>
                    <a:prstGeom prst="rect"/>
                    <a:ln/>
                  </pic:spPr>
                </pic:pic>
              </a:graphicData>
            </a:graphic>
          </wp:anchor>
        </w:drawing>
      </w:r>
    </w:p>
    <w:p w:rsidR="00000000" w:rsidDel="00000000" w:rsidP="00000000" w:rsidRDefault="00000000" w:rsidRPr="00000000" w14:paraId="0000002B">
      <w:pPr>
        <w:jc w:val="both"/>
        <w:rPr/>
      </w:pPr>
      <w:r w:rsidDel="00000000" w:rsidR="00000000" w:rsidRPr="00000000">
        <w:rPr>
          <w:rtl w:val="0"/>
        </w:rPr>
        <w:t xml:space="preserve">Turkana County Turkana is the largest county in Kenya by area and accommodates Kakuma Camp and Kalobeyei Integrated Settlement, which host 233,726 refugees from South Sudan, Somalia, the Democratic Republic of Congo, Burundi, Ethiopia and Uganda (UNHCR).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Garissa County Garissa is the fifth largest county in Kenya by area and accommodates Dadaab Refugee Camp, which has a population of 244,286 refugees mainly from Somalia and Ethiopia (UNHCR)</w:t>
      </w:r>
      <w:r w:rsidDel="00000000" w:rsidR="00000000" w:rsidRPr="00000000">
        <w:rPr>
          <w:rtl w:val="0"/>
        </w:rPr>
      </w:r>
    </w:p>
    <w:sectPr>
      <w:pgSz w:h="16834" w:w="11909" w:orient="portrait"/>
      <w:pgMar w:bottom="239.64566929134207" w:top="708.6614173228347"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oogle.com/search?client=firefox-b-d&amp;sca_esv=ddc993e4aae46b09&amp;q=dadaab&amp;udm=2&amp;fbs=AEQNm0CbCVgAZ5mWEJDg6aoPVcBgTlosgQSuzBMlnAdio07UCCJug3WzoI_0_7bcYmDUufyiZo0OmOGEiyRGYAdeCNb_3CR8fNbE8Wl7q_OhVGvUhZyGTL3X8iqfnTRyNwaK_8Hom0E2x8KK1HV0dpF5vkD7nwtVcFeGgMXABZvmcU7BFX1qTkgJW_F64LNHF5fJCeRmJb6r&amp;sa=X&amp;ved=2ahUKEwifmr2YzvmJAxUfU6QEHX3oMLEQtKgLegQIDBAB&amp;biw=1760&amp;bih=868&amp;dpr=1.09#vhid=ilrxMUZz337jZM&amp;vssid=mosaic" TargetMode="External"/><Relationship Id="rId7" Type="http://schemas.openxmlformats.org/officeDocument/2006/relationships/hyperlink" Target="https://www.re-thinkingthefuture.com/architectural-community/a7971-refugee-camp-kakuma-10-facts-you-should-know/" TargetMode="External"/><Relationship Id="rId8" Type="http://schemas.openxmlformats.org/officeDocument/2006/relationships/hyperlink" Target="https://microdata.worldbank.org/index.php/catalog/6409/study-description#study_desc1674579453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