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Cs/>
          <w:i/>
        </w:rPr>
        <w:t xml:space="preserve">MHap</w:t>
      </w:r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  <w:r>
        <w:t xml:space="preserve">:</w:t>
      </w:r>
      <w:r>
        <w:t xml:space="preserve"> </w:t>
      </w:r>
      <w:r>
        <w:t xml:space="preserve">Drug</w:t>
      </w:r>
      <w:r>
        <w:t xml:space="preserve"> </w:t>
      </w:r>
      <w:r>
        <w:t xml:space="preserve">Resistance</w:t>
      </w:r>
      <w:r>
        <w:t xml:space="preserve"> </w:t>
      </w:r>
      <w:r>
        <w:t xml:space="preserve">Surveillance</w:t>
      </w:r>
      <w:r>
        <w:t xml:space="preserve"> </w:t>
      </w:r>
      <w:r>
        <w:t xml:space="preserve">-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02_Plasmodium_Genotype_Population_Analysis</w:t>
      </w:r>
      <w:r>
        <w:t xml:space="preserve"> </w:t>
      </w:r>
      <w:r>
        <w:t xml:space="preserve">by</w:t>
      </w:r>
      <w:r>
        <w:t xml:space="preserve"> </w:t>
      </w:r>
      <w:r>
        <w:t xml:space="preserve">Neafsey</w:t>
      </w:r>
      <w:r>
        <w:t xml:space="preserve"> </w:t>
      </w:r>
      <w:r>
        <w:t xml:space="preserve">Lab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A cornerstone of genomic epidemiological surveillance is tracking alleles (gene</w:t>
      </w:r>
      <w:r>
        <w:t xml:space="preserve"> </w:t>
      </w:r>
      <w:r>
        <w:t xml:space="preserve">variants) associated with resistance againsts antimalarials in Plasmodium</w:t>
      </w:r>
      <w:r>
        <w:t xml:space="preserve"> </w:t>
      </w:r>
      <w:r>
        <w:t xml:space="preserve">parasites. Alleles arise when mutations happen in the sequence of</w:t>
      </w:r>
      <w:r>
        <w:t xml:space="preserve"> </w:t>
      </w:r>
      <w:r>
        <w:t xml:space="preserve">nucleotides that compose a gene. This report relays change in frequency of gene</w:t>
      </w:r>
      <w:r>
        <w:t xml:space="preserve"> </w:t>
      </w:r>
      <w:r>
        <w:t xml:space="preserve">variants in geographical and temporal contexts.</w:t>
      </w:r>
    </w:p>
    <w:p>
      <w:pPr>
        <w:pStyle w:val="BodyText"/>
      </w:pPr>
      <w:r>
        <w:t xml:space="preserve">The combination of alleles in a sample is called the</w:t>
      </w:r>
      <w:r>
        <w:t xml:space="preserve"> </w:t>
      </w:r>
      <w:r>
        <w:rPr>
          <w:bCs/>
          <w:b/>
        </w:rPr>
        <w:t xml:space="preserve">genotype</w:t>
      </w:r>
      <w:r>
        <w:t xml:space="preserve">. The</w:t>
      </w:r>
      <w:r>
        <w:t xml:space="preserve"> </w:t>
      </w:r>
      <w:r>
        <w:t xml:space="preserve">genotypes here reported for each sample are combinations of the alleles present</w:t>
      </w:r>
      <w:r>
        <w:t xml:space="preserve"> </w:t>
      </w:r>
      <w:r>
        <w:t xml:space="preserve">in the sample. This is because (1) patients may be infected with more than one</w:t>
      </w:r>
      <w:r>
        <w:t xml:space="preserve"> </w:t>
      </w:r>
      <w:r>
        <w:t xml:space="preserve">parasite strain at the time of sampling and (2) amplicon sequencing does not</w:t>
      </w:r>
      <w:r>
        <w:t xml:space="preserve"> </w:t>
      </w:r>
      <w:r>
        <w:t xml:space="preserve">infer the set of genes in each individual parasite. In this sense, this report</w:t>
      </w:r>
      <w:r>
        <w:t xml:space="preserve"> </w:t>
      </w:r>
      <w:r>
        <w:t xml:space="preserve">reflects the frequency of alleles at the population level (see further</w:t>
      </w:r>
      <w:r>
        <w:t xml:space="preserve"> </w:t>
      </w:r>
      <w:r>
        <w:t xml:space="preserve">explanations below).</w:t>
      </w:r>
    </w:p>
    <w:p>
      <w:pPr>
        <w:pStyle w:val="SourceCode"/>
      </w:pPr>
      <w:r>
        <w:rPr>
          <w:rStyle w:val="NormalTok"/>
        </w:rPr>
        <w:t xml:space="preserve">drug_resistant_haplotypes_plot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dna_mutations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extensions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'Buttons'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drug_resistant_haplotypes_plot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aa_mutations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extensions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'Buttons'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'Blfrtip'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drug_resistant_haplotypes_plot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genotype_phenotype_table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extensions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'Buttons'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'Blfrtip'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drug_resistant_haplotypes_plot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haplotype_freq_barplot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extensions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'Buttons'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'Blfrtip'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'excel'</w:t>
      </w:r>
      <w:r>
        <w:rPr>
          <w:rStyle w:val="NormalTok"/>
        </w:rPr>
        <w:t xml:space="preserve">)))</w:t>
      </w:r>
    </w:p>
    <w:bookmarkEnd w:id="20"/>
    <w:bookmarkStart w:id="24" w:name="haplotype-frequency"/>
    <w:p>
      <w:pPr>
        <w:pStyle w:val="Heading2"/>
      </w:pPr>
      <w:r>
        <w:t xml:space="preserve">Haplotype Frequency</w:t>
      </w:r>
    </w:p>
    <w:p>
      <w:pPr>
        <w:pStyle w:val="FirstParagraph"/>
      </w:pPr>
      <w:r>
        <w:t xml:space="preserve">The haplotype is defined as the unique combination of alleles across loci</w:t>
      </w:r>
      <w:r>
        <w:t xml:space="preserve"> </w:t>
      </w:r>
      <w:r>
        <w:t xml:space="preserve">(variant sites across different amplicons) in a gene. In monoclonal samples,</w:t>
      </w:r>
      <w:r>
        <w:t xml:space="preserve"> </w:t>
      </w:r>
      <w:r>
        <w:t xml:space="preserve">one allele is observe at each locus; thus, genotype and haplotype are the same.</w:t>
      </w:r>
      <w:r>
        <w:t xml:space="preserve"> </w:t>
      </w:r>
      <w:r>
        <w:t xml:space="preserve">In polyclonal samples, the complexity of infection (the number of strains</w:t>
      </w:r>
      <w:r>
        <w:t xml:space="preserve"> </w:t>
      </w:r>
      <w:r>
        <w:t xml:space="preserve">present in the sample) equals the maximum number of alleles observed at any loci</w:t>
      </w:r>
      <w:r>
        <w:t xml:space="preserve"> </w:t>
      </w:r>
      <w:r>
        <w:t xml:space="preserve">of a gene. Alleles are sorted in descending order of read depth. When different</w:t>
      </w:r>
      <w:r>
        <w:t xml:space="preserve"> </w:t>
      </w:r>
      <w:r>
        <w:t xml:space="preserve">amplicons within a gene each show multiple alleles, and the number of alleles is</w:t>
      </w:r>
      <w:r>
        <w:t xml:space="preserve"> </w:t>
      </w:r>
      <w:r>
        <w:t xml:space="preserve">different between these amplicons, the major allele on the locus with fewest</w:t>
      </w:r>
      <w:r>
        <w:t xml:space="preserve"> </w:t>
      </w:r>
      <w:r>
        <w:t xml:space="preserve">alleles is used to impute the unknown/ambiguous haplotype(s) (haplotype with</w:t>
      </w:r>
      <w:r>
        <w:t xml:space="preserve"> </w:t>
      </w:r>
      <w:r>
        <w:t xml:space="preserve">least read support). Finally, the total number of haplotypes counted (rather</w:t>
      </w:r>
      <w:r>
        <w:t xml:space="preserve"> </w:t>
      </w:r>
      <w:r>
        <w:t xml:space="preserve">than the total number of infections) is used to calculate the haplotype</w:t>
      </w:r>
      <w:r>
        <w:t xml:space="preserve"> </w:t>
      </w:r>
      <w:r>
        <w:t xml:space="preserve">frequency as haplotypes observed in monoclonal and polyclonal infections are</w:t>
      </w:r>
      <w:r>
        <w:t xml:space="preserve"> </w:t>
      </w:r>
      <w:r>
        <w:t xml:space="preserve">given equal weight. It is for this reason that, as previously stated, this</w:t>
      </w:r>
      <w:r>
        <w:t xml:space="preserve"> </w:t>
      </w:r>
      <w:r>
        <w:t xml:space="preserve">report reflects the frequency of alleles at the population level.</w:t>
      </w:r>
    </w:p>
    <w:p>
      <w:pPr>
        <w:pStyle w:val="BodyText"/>
      </w:pPr>
      <w:r>
        <w:drawing>
          <wp:inline>
            <wp:extent cx="5334000" cy="5111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Users/pam3650/Documents/Github/MHap-Analysis/docs/data/Pfal_example2/MHap_Pfal_excel_DRS_Minimal_Report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Haplotype frequencies for genes carrying mutations associated with resistance to</w:t>
      </w:r>
      <w:r>
        <w:t xml:space="preserve"> </w:t>
      </w:r>
      <w:r>
        <w:t xml:space="preserve">antimalarials. For each cell, the vertical and horizontal axes show the</w:t>
      </w:r>
      <w:r>
        <w:t xml:space="preserve"> </w:t>
      </w:r>
      <w:r>
        <w:rPr>
          <w:bCs/>
          <w:b/>
        </w:rPr>
        <w:t xml:space="preserve">haplotype</w:t>
      </w:r>
      <w:r>
        <w:t xml:space="preserve"> </w:t>
      </w:r>
      <w:r>
        <w:t xml:space="preserve">frequency and the time of the year, respectively. Studied areas are</w:t>
      </w:r>
      <w:r>
        <w:t xml:space="preserve"> </w:t>
      </w:r>
      <w:r>
        <w:t xml:space="preserve">rendered in alphabetic order in the vertical grid. The same applies for genes in</w:t>
      </w:r>
      <w:r>
        <w:t xml:space="preserve"> </w:t>
      </w:r>
      <w:r>
        <w:t xml:space="preserve">the horizontal grid. Red lines indicate the presence of one or more</w:t>
      </w:r>
      <w:r>
        <w:t xml:space="preserve"> </w:t>
      </w:r>
      <w:r>
        <w:t xml:space="preserve">resistance-associated mutations, while blue lines indicate antimalarial-sensitive</w:t>
      </w:r>
      <w:r>
        <w:t xml:space="preserve"> </w:t>
      </w:r>
      <w:r>
        <w:t xml:space="preserve">alleles. The intensity of red indicates the number of resistance-associated</w:t>
      </w:r>
      <w:r>
        <w:t xml:space="preserve"> </w:t>
      </w:r>
      <w:r>
        <w:t xml:space="preserve">mutations. Orange lines represents haplotypes carrying mutations with respect to</w:t>
      </w:r>
      <w:r>
        <w:t xml:space="preserve"> </w:t>
      </w:r>
      <w:r>
        <w:t xml:space="preserve">the reference strain which have not been associated with resistance. Bars represent</w:t>
      </w:r>
      <w:r>
        <w:t xml:space="preserve"> </w:t>
      </w:r>
      <w:r>
        <w:t xml:space="preserve">95% Confidence Intervals.</w:t>
      </w:r>
    </w:p>
    <w:bookmarkEnd w:id="24"/>
    <w:bookmarkStart w:id="28" w:name="drug-phenotypes"/>
    <w:p>
      <w:pPr>
        <w:pStyle w:val="Heading2"/>
      </w:pPr>
      <w:r>
        <w:t xml:space="preserve">DRUG PHENOTYPES</w:t>
      </w:r>
    </w:p>
    <w:p>
      <w:pPr>
        <w:pStyle w:val="FirstParagraph"/>
      </w:pPr>
      <w:r>
        <w:t xml:space="preserve">Resistance to a particular drug can be conferred by mutations in multiple genes.</w:t>
      </w:r>
      <w:r>
        <w:t xml:space="preserve"> </w:t>
      </w:r>
      <w:r>
        <w:t xml:space="preserve">For this reason, the drug resistance profile of each sample is determined based</w:t>
      </w:r>
      <w:r>
        <w:t xml:space="preserve"> </w:t>
      </w:r>
      <w:r>
        <w:t xml:space="preserve">on the joint analysis of all the genes that have resistance-associated mutations</w:t>
      </w:r>
      <w:r>
        <w:t xml:space="preserve"> </w:t>
      </w:r>
      <w:r>
        <w:t xml:space="preserve">to a particular drug. For example, seven mutations</w:t>
      </w:r>
      <w:r>
        <w:t xml:space="preserve"> </w:t>
      </w:r>
      <w:r>
        <w:t xml:space="preserve">have been associated with resistance to pyrimethamine. Six of these are found in</w:t>
      </w:r>
      <w:r>
        <w:t xml:space="preserve"> </w:t>
      </w:r>
      <w:r>
        <w:t xml:space="preserve">the pfdhfr gene and one in the pfmdr2 gene. To define the possible phenotype of</w:t>
      </w:r>
      <w:r>
        <w:t xml:space="preserve"> </w:t>
      </w:r>
      <w:r>
        <w:t xml:space="preserve">this drug, therefore, the workflow has analyzed the alleles present in each of</w:t>
      </w:r>
      <w:r>
        <w:t xml:space="preserve"> </w:t>
      </w:r>
      <w:r>
        <w:t xml:space="preserve">these seven positions. This section also reports other mutations that occur in</w:t>
      </w:r>
      <w:r>
        <w:t xml:space="preserve"> </w:t>
      </w:r>
      <w:r>
        <w:t xml:space="preserve">either of these two genes and whether amplification was unsuccessful for any of</w:t>
      </w:r>
      <w:r>
        <w:t xml:space="preserve"> </w:t>
      </w:r>
      <w:r>
        <w:t xml:space="preserve">the amplicons.</w:t>
      </w:r>
    </w:p>
    <w:p>
      <w:pPr>
        <w:pStyle w:val="BodyText"/>
      </w:pPr>
      <w:r>
        <w:t xml:space="preserve">The drug-resistance profiles are divided into five categories:</w:t>
      </w:r>
    </w:p>
    <w:p>
      <w:pPr>
        <w:numPr>
          <w:ilvl w:val="0"/>
          <w:numId w:val="1001"/>
        </w:numPr>
        <w:pStyle w:val="Compact"/>
      </w:pPr>
      <w:r>
        <w:t xml:space="preserve">Sensitive Phenotype: All amplicons amplified and no mutations were found with respect to the reference strain and the reference_allele table.</w:t>
      </w:r>
    </w:p>
    <w:p>
      <w:pPr>
        <w:numPr>
          <w:ilvl w:val="0"/>
          <w:numId w:val="1001"/>
        </w:numPr>
        <w:pStyle w:val="Compact"/>
      </w:pPr>
      <w:r>
        <w:t xml:space="preserve">Polymorphism(s) with respect to the reference strain: At least one mutation with respect to the reference strain was found, but no resistance-associated mutations occur. Partial haplotypes are also included.</w:t>
      </w:r>
    </w:p>
    <w:p>
      <w:pPr>
        <w:numPr>
          <w:ilvl w:val="0"/>
          <w:numId w:val="1001"/>
        </w:numPr>
        <w:pStyle w:val="Compact"/>
      </w:pPr>
      <w:r>
        <w:t xml:space="preserve">Mutation(s) associated with a resistant phenotype: At least one resistance-associated mutations was found. Partial haplotypes are also included.</w:t>
      </w:r>
    </w:p>
    <w:p>
      <w:pPr>
        <w:numPr>
          <w:ilvl w:val="0"/>
          <w:numId w:val="1001"/>
        </w:numPr>
        <w:pStyle w:val="Compact"/>
      </w:pPr>
      <w:r>
        <w:t xml:space="preserve">Partial Haplotype: At least one amplicon has amplified and no mutations occur.</w:t>
      </w:r>
    </w:p>
    <w:p>
      <w:pPr>
        <w:numPr>
          <w:ilvl w:val="0"/>
          <w:numId w:val="1001"/>
        </w:numPr>
        <w:pStyle w:val="Compact"/>
      </w:pPr>
      <w:r>
        <w:t xml:space="preserve">Missing data: None of the amplicons amplified.</w:t>
      </w:r>
    </w:p>
    <w:p>
      <w:pPr>
        <w:pStyle w:val="SourceCode"/>
      </w:pPr>
      <w:r>
        <w:rPr>
          <w:rStyle w:val="NormalTok"/>
        </w:rPr>
        <w:t xml:space="preserve">drug_resistant_haplotypes_plot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drug_phenotype_table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extensions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'Buttons'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'Blfrtip'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drug_resistant_haplotypes_plot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drug_phenotype_barplot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extensions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'Buttons'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'Blfrtip'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'excel'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222314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pam3650/Documents/Github/MHap-Analysis/docs/data/Pfal_example2/MHap_Pfal_excel_DRS_Minimal_Report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line-plot"/>
    <w:p>
      <w:pPr>
        <w:pStyle w:val="Heading2"/>
      </w:pPr>
      <w:r>
        <w:t xml:space="preserve">Line Plot</w:t>
      </w:r>
    </w:p>
    <w:p>
      <w:pPr>
        <w:pStyle w:val="FirstParagraph"/>
      </w:pPr>
      <w:r>
        <w:t xml:space="preserve">Frequency of resistant vs. sensitive phenotypes classified based on amino acid</w:t>
      </w:r>
      <w:r>
        <w:t xml:space="preserve"> </w:t>
      </w:r>
      <w:r>
        <w:t xml:space="preserve">changes in drug resistance-associated genes. For each cell, the vertical and</w:t>
      </w:r>
      <w:r>
        <w:t xml:space="preserve"> </w:t>
      </w:r>
      <w:r>
        <w:t xml:space="preserve">horizontal axes show the</w:t>
      </w:r>
      <w:r>
        <w:t xml:space="preserve"> </w:t>
      </w:r>
      <w:r>
        <w:rPr>
          <w:bCs/>
          <w:b/>
        </w:rPr>
        <w:t xml:space="preserve">phenotype</w:t>
      </w:r>
      <w:r>
        <w:t xml:space="preserve"> </w:t>
      </w:r>
      <w:r>
        <w:t xml:space="preserve">frequency and the time of the year,</w:t>
      </w:r>
      <w:r>
        <w:t xml:space="preserve"> </w:t>
      </w:r>
      <w:r>
        <w:t xml:space="preserve">respectively. Studied areas are rendered in alphabetic order in the vertical</w:t>
      </w:r>
      <w:r>
        <w:t xml:space="preserve"> </w:t>
      </w:r>
      <w:r>
        <w:t xml:space="preserve">grid. The same applies for genes in the horizontal grid. Red lines indicate the</w:t>
      </w:r>
      <w:r>
        <w:t xml:space="preserve"> </w:t>
      </w:r>
      <w:r>
        <w:t xml:space="preserve">presence of one or more resistance-associated mutations, while blue lines</w:t>
      </w:r>
      <w:r>
        <w:t xml:space="preserve"> </w:t>
      </w:r>
      <w:r>
        <w:t xml:space="preserve">indicate antimalarial-sensitive alleles. Yellow lines represents haplotypes</w:t>
      </w:r>
      <w:r>
        <w:t xml:space="preserve"> </w:t>
      </w:r>
      <w:r>
        <w:t xml:space="preserve">carrying mutations with respect to the reference strain which have not been</w:t>
      </w:r>
      <w:r>
        <w:t xml:space="preserve"> </w:t>
      </w:r>
      <w:r>
        <w:t xml:space="preserve">associated with resistance. Bars represent 95% Confidence Intervals.</w:t>
      </w:r>
    </w:p>
    <w:bookmarkEnd w:id="29"/>
    <w:bookmarkStart w:id="30" w:name="X0bf2a271582211669e97a440c9327071ca502d6"/>
    <w:p>
      <w:pPr>
        <w:pStyle w:val="Heading2"/>
      </w:pPr>
      <w:r>
        <w:t xml:space="preserve">Frequency of resistance per geographical area.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(Longitude)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(Latitude)){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'view'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drug_resistant_haplotypes_plot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i_drug_map  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glossary"/>
    <w:p>
      <w:pPr>
        <w:pStyle w:val="Heading2"/>
      </w:pPr>
      <w:r>
        <w:t xml:space="preserve">Glossary</w:t>
      </w:r>
    </w:p>
    <w:p>
      <w:pPr>
        <w:pStyle w:val="FirstParagraph"/>
      </w:pPr>
      <w:r>
        <w:t xml:space="preserve">Allele:</w:t>
      </w:r>
      <w:r>
        <w:t xml:space="preserve"> </w:t>
      </w:r>
      <w:r>
        <w:t xml:space="preserve">Genotype:</w:t>
      </w:r>
      <w:r>
        <w:t xml:space="preserve"> </w:t>
      </w:r>
      <w:r>
        <w:t xml:space="preserve">Locus (p. Loci):</w:t>
      </w:r>
      <w:r>
        <w:t xml:space="preserve"> </w:t>
      </w:r>
      <w:r>
        <w:t xml:space="preserve">Haplotype:</w:t>
      </w:r>
      <w:r>
        <w:t xml:space="preserve"> </w:t>
      </w:r>
      <w:r>
        <w:t xml:space="preserve">Complexity of infection:</w:t>
      </w:r>
      <w:r>
        <w:t xml:space="preserve"> </w:t>
      </w:r>
      <w:r>
        <w:t xml:space="preserve">Confidence Interval: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MHap Analysis Report: Drug Resistance Surveillance - Summary</dc:title>
  <dc:creator>02_Plasmodium_Genotype_Population_Analysis by Neafsey Lab</dc:creator>
  <cp:keywords/>
  <dcterms:created xsi:type="dcterms:W3CDTF">2024-08-13T15:31:03Z</dcterms:created>
  <dcterms:modified xsi:type="dcterms:W3CDTF">2024-08-13T15:31:03Z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