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6CBC6" w14:textId="77777777" w:rsidR="00884DBB" w:rsidRPr="00A07B66" w:rsidRDefault="00884DBB" w:rsidP="00884DB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A07B66">
        <w:rPr>
          <w:rFonts w:ascii="Times New Roman" w:hAnsi="Times New Roman" w:cs="Times New Roman"/>
          <w:b/>
          <w:bCs/>
          <w:color w:val="auto"/>
          <w:sz w:val="24"/>
          <w:szCs w:val="24"/>
        </w:rPr>
        <w:t>Pharmaceutical compounds at the surface water–groundwater interface: a systematic evidence synthesis of their properties and fate at the hyporheic zone</w:t>
      </w:r>
    </w:p>
    <w:p w14:paraId="6A9436D4" w14:textId="77777777" w:rsidR="00884DBB" w:rsidRPr="004148D5" w:rsidRDefault="00884DBB" w:rsidP="00884DBB">
      <w:pPr>
        <w:suppressLineNumbers/>
        <w:spacing w:line="360" w:lineRule="auto"/>
        <w:jc w:val="both"/>
        <w:rPr>
          <w:rFonts w:ascii="Times New Roman" w:hAnsi="Times New Roman" w:cs="Times New Roman"/>
          <w:sz w:val="24"/>
          <w:szCs w:val="24"/>
        </w:rPr>
      </w:pPr>
    </w:p>
    <w:p w14:paraId="5308634B" w14:textId="77777777" w:rsidR="00884DBB" w:rsidRPr="00182246" w:rsidRDefault="00884DBB" w:rsidP="00884DBB">
      <w:pPr>
        <w:pStyle w:val="Heading1"/>
        <w:suppressLineNumbers/>
        <w:tabs>
          <w:tab w:val="left" w:pos="8494"/>
        </w:tabs>
        <w:spacing w:line="360" w:lineRule="auto"/>
        <w:ind w:right="-22"/>
        <w:jc w:val="both"/>
        <w:rPr>
          <w:rFonts w:ascii="Times New Roman" w:hAnsi="Times New Roman" w:cs="Times New Roman"/>
          <w:b/>
          <w:bCs/>
          <w:color w:val="auto"/>
          <w:sz w:val="24"/>
          <w:szCs w:val="24"/>
          <w:lang w:val="pt-PT"/>
        </w:rPr>
      </w:pPr>
      <w:r w:rsidRPr="00182246">
        <w:rPr>
          <w:rFonts w:ascii="Times New Roman" w:hAnsi="Times New Roman" w:cs="Times New Roman"/>
          <w:b/>
          <w:bCs/>
          <w:color w:val="auto"/>
          <w:sz w:val="24"/>
          <w:szCs w:val="24"/>
          <w:lang w:val="pt-PT"/>
        </w:rPr>
        <w:t>Authors:</w:t>
      </w:r>
    </w:p>
    <w:p w14:paraId="03D60CE4" w14:textId="77777777" w:rsidR="00884DBB" w:rsidRPr="002525A8" w:rsidRDefault="00884DBB" w:rsidP="00884DBB">
      <w:pPr>
        <w:suppressLineNumbers/>
        <w:spacing w:line="360" w:lineRule="auto"/>
        <w:jc w:val="both"/>
        <w:rPr>
          <w:rFonts w:ascii="Times New Roman" w:hAnsi="Times New Roman" w:cs="Times New Roman"/>
          <w:sz w:val="24"/>
          <w:szCs w:val="24"/>
          <w:lang w:val="pt-PT"/>
        </w:rPr>
      </w:pPr>
      <w:r w:rsidRPr="002525A8">
        <w:rPr>
          <w:rFonts w:ascii="Times New Roman" w:hAnsi="Times New Roman" w:cs="Times New Roman"/>
          <w:sz w:val="24"/>
          <w:szCs w:val="24"/>
          <w:lang w:val="pt-PT"/>
        </w:rPr>
        <w:t xml:space="preserve">Paolo Tufoni </w:t>
      </w:r>
      <w:r w:rsidRPr="002525A8">
        <w:rPr>
          <w:rFonts w:ascii="Times New Roman" w:hAnsi="Times New Roman" w:cs="Times New Roman"/>
          <w:sz w:val="24"/>
          <w:szCs w:val="24"/>
          <w:vertAlign w:val="superscript"/>
          <w:lang w:val="pt-PT"/>
        </w:rPr>
        <w:t>(1</w:t>
      </w:r>
      <w:r>
        <w:rPr>
          <w:rFonts w:ascii="Times New Roman" w:hAnsi="Times New Roman" w:cs="Times New Roman"/>
          <w:sz w:val="24"/>
          <w:szCs w:val="24"/>
          <w:vertAlign w:val="superscript"/>
          <w:lang w:val="pt-PT"/>
        </w:rPr>
        <w:t>,2</w:t>
      </w:r>
      <w:r w:rsidRPr="002525A8">
        <w:rPr>
          <w:rFonts w:ascii="Times New Roman" w:hAnsi="Times New Roman" w:cs="Times New Roman"/>
          <w:sz w:val="24"/>
          <w:szCs w:val="24"/>
          <w:vertAlign w:val="superscript"/>
          <w:lang w:val="pt-PT"/>
        </w:rPr>
        <w:t>)</w:t>
      </w:r>
      <w:r w:rsidRPr="002525A8">
        <w:rPr>
          <w:rFonts w:ascii="Times New Roman" w:hAnsi="Times New Roman" w:cs="Times New Roman"/>
          <w:sz w:val="24"/>
          <w:szCs w:val="24"/>
          <w:lang w:val="pt-PT"/>
        </w:rPr>
        <w:t>, José Paulo Monteiro</w:t>
      </w:r>
      <w:r>
        <w:rPr>
          <w:rFonts w:ascii="Times New Roman" w:hAnsi="Times New Roman" w:cs="Times New Roman"/>
          <w:sz w:val="24"/>
          <w:szCs w:val="24"/>
          <w:lang w:val="pt-PT"/>
        </w:rPr>
        <w:t xml:space="preserve"> </w:t>
      </w:r>
      <w:r w:rsidRPr="002525A8">
        <w:rPr>
          <w:rFonts w:ascii="Times New Roman" w:hAnsi="Times New Roman" w:cs="Times New Roman"/>
          <w:sz w:val="24"/>
          <w:szCs w:val="24"/>
          <w:vertAlign w:val="superscript"/>
          <w:lang w:val="pt-PT"/>
        </w:rPr>
        <w:t>(1</w:t>
      </w:r>
      <w:r>
        <w:rPr>
          <w:rFonts w:ascii="Times New Roman" w:hAnsi="Times New Roman" w:cs="Times New Roman"/>
          <w:sz w:val="24"/>
          <w:szCs w:val="24"/>
          <w:vertAlign w:val="superscript"/>
          <w:lang w:val="pt-PT"/>
        </w:rPr>
        <w:t>,2,3</w:t>
      </w:r>
      <w:r w:rsidRPr="002525A8">
        <w:rPr>
          <w:rFonts w:ascii="Times New Roman" w:hAnsi="Times New Roman" w:cs="Times New Roman"/>
          <w:sz w:val="24"/>
          <w:szCs w:val="24"/>
          <w:vertAlign w:val="superscript"/>
          <w:lang w:val="pt-PT"/>
        </w:rPr>
        <w:t>)</w:t>
      </w:r>
      <w:r>
        <w:rPr>
          <w:rFonts w:ascii="Times New Roman" w:hAnsi="Times New Roman" w:cs="Times New Roman"/>
          <w:sz w:val="24"/>
          <w:szCs w:val="24"/>
          <w:lang w:val="pt-PT"/>
        </w:rPr>
        <w:t xml:space="preserve"> and Luís Miguel Nunes </w:t>
      </w:r>
      <w:r w:rsidRPr="002525A8">
        <w:rPr>
          <w:rFonts w:ascii="Times New Roman" w:hAnsi="Times New Roman" w:cs="Times New Roman"/>
          <w:sz w:val="24"/>
          <w:szCs w:val="24"/>
          <w:vertAlign w:val="superscript"/>
          <w:lang w:val="pt-PT"/>
        </w:rPr>
        <w:t>(1</w:t>
      </w:r>
      <w:r>
        <w:rPr>
          <w:rFonts w:ascii="Times New Roman" w:hAnsi="Times New Roman" w:cs="Times New Roman"/>
          <w:sz w:val="24"/>
          <w:szCs w:val="24"/>
          <w:vertAlign w:val="superscript"/>
          <w:lang w:val="pt-PT"/>
        </w:rPr>
        <w:t>,2</w:t>
      </w:r>
      <w:r w:rsidRPr="002525A8">
        <w:rPr>
          <w:rFonts w:ascii="Times New Roman" w:hAnsi="Times New Roman" w:cs="Times New Roman"/>
          <w:sz w:val="24"/>
          <w:szCs w:val="24"/>
          <w:vertAlign w:val="superscript"/>
          <w:lang w:val="pt-PT"/>
        </w:rPr>
        <w:t>)</w:t>
      </w:r>
    </w:p>
    <w:p w14:paraId="45B935BC" w14:textId="77777777" w:rsidR="00884DBB" w:rsidRPr="00415B61" w:rsidRDefault="00884DBB" w:rsidP="00884DBB">
      <w:pPr>
        <w:pStyle w:val="ListParagraph"/>
        <w:suppressLineNumbers/>
        <w:spacing w:line="360" w:lineRule="auto"/>
        <w:jc w:val="both"/>
        <w:rPr>
          <w:rStyle w:val="Hyperlink"/>
          <w:rFonts w:ascii="Times New Roman" w:hAnsi="Times New Roman" w:cs="Times New Roman"/>
          <w:color w:val="auto"/>
          <w:sz w:val="24"/>
          <w:szCs w:val="24"/>
          <w:u w:val="none"/>
          <w:lang w:val="pt-PT"/>
        </w:rPr>
      </w:pPr>
      <w:hyperlink r:id="rId5" w:history="1">
        <w:r w:rsidRPr="00415B61">
          <w:rPr>
            <w:rStyle w:val="Hyperlink"/>
            <w:rFonts w:ascii="Times New Roman" w:hAnsi="Times New Roman" w:cs="Times New Roman"/>
            <w:color w:val="auto"/>
            <w:sz w:val="24"/>
            <w:szCs w:val="24"/>
            <w:u w:val="none"/>
            <w:lang w:val="pt-PT"/>
          </w:rPr>
          <w:t>a59862@ualg.pt</w:t>
        </w:r>
      </w:hyperlink>
      <w:r w:rsidRPr="00415B61">
        <w:rPr>
          <w:rStyle w:val="Hyperlink"/>
          <w:color w:val="auto"/>
          <w:u w:val="none"/>
          <w:lang w:val="pt-PT"/>
        </w:rPr>
        <w:t>;</w:t>
      </w:r>
      <w:r w:rsidRPr="00415B61">
        <w:rPr>
          <w:rStyle w:val="Hyperlink"/>
          <w:rFonts w:ascii="Times New Roman" w:hAnsi="Times New Roman" w:cs="Times New Roman"/>
          <w:color w:val="auto"/>
          <w:sz w:val="24"/>
          <w:szCs w:val="24"/>
          <w:u w:val="none"/>
          <w:lang w:val="pt-PT"/>
        </w:rPr>
        <w:t xml:space="preserve"> </w:t>
      </w:r>
      <w:hyperlink r:id="rId6" w:history="1">
        <w:r w:rsidRPr="00415B61">
          <w:rPr>
            <w:rStyle w:val="Hyperlink"/>
            <w:rFonts w:ascii="Times New Roman" w:hAnsi="Times New Roman" w:cs="Times New Roman"/>
            <w:color w:val="auto"/>
            <w:sz w:val="24"/>
            <w:szCs w:val="24"/>
            <w:u w:val="none"/>
            <w:lang w:val="pt-PT"/>
          </w:rPr>
          <w:t>jpmontei@ualg.pt</w:t>
        </w:r>
      </w:hyperlink>
      <w:r>
        <w:rPr>
          <w:rStyle w:val="Hyperlink"/>
          <w:rFonts w:ascii="Times New Roman" w:hAnsi="Times New Roman" w:cs="Times New Roman"/>
          <w:color w:val="auto"/>
          <w:sz w:val="24"/>
          <w:szCs w:val="24"/>
          <w:u w:val="none"/>
          <w:lang w:val="pt-PT"/>
        </w:rPr>
        <w:t xml:space="preserve">; </w:t>
      </w:r>
      <w:hyperlink r:id="rId7" w:history="1">
        <w:r w:rsidRPr="00415B61">
          <w:rPr>
            <w:rStyle w:val="Hyperlink"/>
            <w:rFonts w:ascii="Times New Roman" w:hAnsi="Times New Roman" w:cs="Times New Roman"/>
            <w:color w:val="auto"/>
            <w:sz w:val="24"/>
            <w:szCs w:val="24"/>
            <w:u w:val="none"/>
            <w:lang w:val="pt-PT"/>
          </w:rPr>
          <w:t>lnunes@ualg.pt</w:t>
        </w:r>
      </w:hyperlink>
    </w:p>
    <w:p w14:paraId="6D4F3BE5" w14:textId="77777777" w:rsidR="00884DBB" w:rsidRPr="002525A8" w:rsidRDefault="00884DBB" w:rsidP="00884DBB">
      <w:pPr>
        <w:suppressLineNumbers/>
        <w:spacing w:line="360" w:lineRule="auto"/>
        <w:jc w:val="both"/>
        <w:rPr>
          <w:rFonts w:ascii="Times New Roman" w:hAnsi="Times New Roman" w:cs="Times New Roman"/>
          <w:sz w:val="24"/>
          <w:szCs w:val="24"/>
          <w:lang w:val="pt-PT"/>
        </w:rPr>
      </w:pPr>
    </w:p>
    <w:p w14:paraId="13B9AECA" w14:textId="77777777" w:rsidR="00884DBB" w:rsidRPr="00D25F5C" w:rsidRDefault="00884DBB" w:rsidP="00884DB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D25F5C">
        <w:rPr>
          <w:rFonts w:ascii="Times New Roman" w:hAnsi="Times New Roman" w:cs="Times New Roman"/>
          <w:b/>
          <w:bCs/>
          <w:color w:val="auto"/>
          <w:sz w:val="24"/>
          <w:szCs w:val="24"/>
        </w:rPr>
        <w:t>Affiliation:</w:t>
      </w:r>
    </w:p>
    <w:p w14:paraId="557332C1" w14:textId="77777777" w:rsidR="00884DBB" w:rsidRPr="005F5273" w:rsidRDefault="00884DBB" w:rsidP="00884DBB">
      <w:pPr>
        <w:pStyle w:val="ListParagraph"/>
        <w:numPr>
          <w:ilvl w:val="0"/>
          <w:numId w:val="2"/>
        </w:numPr>
        <w:suppressLineNumbers/>
        <w:spacing w:line="360" w:lineRule="auto"/>
        <w:contextualSpacing/>
        <w:jc w:val="both"/>
        <w:rPr>
          <w:rFonts w:ascii="Times New Roman" w:hAnsi="Times New Roman" w:cs="Times New Roman"/>
          <w:sz w:val="24"/>
          <w:szCs w:val="24"/>
        </w:rPr>
      </w:pPr>
      <w:r w:rsidRPr="005F5273">
        <w:rPr>
          <w:rFonts w:ascii="Times New Roman" w:hAnsi="Times New Roman" w:cs="Times New Roman"/>
          <w:sz w:val="24"/>
          <w:szCs w:val="24"/>
        </w:rPr>
        <w:t>University of Algarve, Faro, Portugal.</w:t>
      </w:r>
    </w:p>
    <w:p w14:paraId="3F6EF8DE" w14:textId="77777777" w:rsidR="00884DBB" w:rsidRPr="009C18B3" w:rsidRDefault="00884DBB" w:rsidP="00884DBB">
      <w:pPr>
        <w:pStyle w:val="ListParagraph"/>
        <w:numPr>
          <w:ilvl w:val="0"/>
          <w:numId w:val="2"/>
        </w:numPr>
        <w:suppressLineNumbers/>
        <w:spacing w:line="360" w:lineRule="auto"/>
        <w:contextualSpacing/>
        <w:jc w:val="both"/>
        <w:rPr>
          <w:rFonts w:ascii="Times New Roman" w:hAnsi="Times New Roman" w:cs="Times New Roman"/>
          <w:sz w:val="24"/>
          <w:szCs w:val="24"/>
        </w:rPr>
      </w:pPr>
      <w:r w:rsidRPr="00570279">
        <w:rPr>
          <w:rFonts w:ascii="Times New Roman" w:hAnsi="Times New Roman" w:cs="Times New Roman"/>
          <w:sz w:val="24"/>
          <w:szCs w:val="24"/>
        </w:rPr>
        <w:t>Civil Engineering Research and Innovation for Sustainability Center</w:t>
      </w:r>
      <w:r>
        <w:rPr>
          <w:rFonts w:ascii="Times New Roman" w:hAnsi="Times New Roman" w:cs="Times New Roman"/>
          <w:sz w:val="24"/>
          <w:szCs w:val="24"/>
        </w:rPr>
        <w:t>, Lisbon, Portugal</w:t>
      </w:r>
    </w:p>
    <w:p w14:paraId="1F4E45ED" w14:textId="77777777" w:rsidR="00884DBB" w:rsidRPr="0040014C" w:rsidRDefault="00884DBB" w:rsidP="00884DBB">
      <w:pPr>
        <w:pStyle w:val="ListParagraph"/>
        <w:numPr>
          <w:ilvl w:val="0"/>
          <w:numId w:val="2"/>
        </w:numPr>
        <w:suppressLineNumbers/>
        <w:spacing w:line="360" w:lineRule="auto"/>
        <w:contextualSpacing/>
        <w:jc w:val="both"/>
        <w:rPr>
          <w:rFonts w:ascii="Times New Roman" w:hAnsi="Times New Roman" w:cs="Times New Roman"/>
          <w:sz w:val="24"/>
          <w:szCs w:val="24"/>
          <w:lang w:val="pt-PT"/>
        </w:rPr>
      </w:pPr>
      <w:r w:rsidRPr="00182246">
        <w:rPr>
          <w:rFonts w:ascii="Times New Roman" w:hAnsi="Times New Roman" w:cs="Times New Roman"/>
          <w:sz w:val="24"/>
          <w:szCs w:val="24"/>
        </w:rPr>
        <w:t xml:space="preserve"> </w:t>
      </w:r>
      <w:r w:rsidRPr="0040014C">
        <w:rPr>
          <w:rFonts w:ascii="Times New Roman" w:hAnsi="Times New Roman" w:cs="Times New Roman"/>
          <w:sz w:val="24"/>
          <w:szCs w:val="24"/>
          <w:lang w:val="pt-PT"/>
        </w:rPr>
        <w:t>Centro de Ciências e Tecnologias da Água (CTA), University of Algarve, Faro, Portugal</w:t>
      </w:r>
      <w:r w:rsidRPr="0040014C">
        <w:rPr>
          <w:lang w:val="pt-PT"/>
        </w:rPr>
        <w:t xml:space="preserve"> </w:t>
      </w:r>
    </w:p>
    <w:p w14:paraId="18DD5072" w14:textId="77777777" w:rsidR="00884DBB" w:rsidRPr="0040014C" w:rsidRDefault="00884DBB" w:rsidP="00884DBB">
      <w:pPr>
        <w:pStyle w:val="ListParagraph"/>
        <w:suppressLineNumbers/>
        <w:spacing w:line="360" w:lineRule="auto"/>
        <w:jc w:val="both"/>
        <w:rPr>
          <w:rFonts w:ascii="Times New Roman" w:hAnsi="Times New Roman" w:cs="Times New Roman"/>
          <w:sz w:val="24"/>
          <w:szCs w:val="24"/>
          <w:lang w:val="pt-PT"/>
        </w:rPr>
      </w:pPr>
    </w:p>
    <w:p w14:paraId="7D63D37E" w14:textId="77777777" w:rsidR="00884DBB" w:rsidRPr="00D25F5C" w:rsidRDefault="00884DBB" w:rsidP="00884DB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D25F5C">
        <w:rPr>
          <w:rFonts w:ascii="Times New Roman" w:hAnsi="Times New Roman" w:cs="Times New Roman"/>
          <w:b/>
          <w:bCs/>
          <w:color w:val="auto"/>
          <w:sz w:val="24"/>
          <w:szCs w:val="24"/>
        </w:rPr>
        <w:t>Corresponding author:</w:t>
      </w:r>
    </w:p>
    <w:p w14:paraId="79B57DCF" w14:textId="77777777" w:rsidR="00884DBB" w:rsidRPr="00182246" w:rsidRDefault="00884DBB" w:rsidP="00884DBB">
      <w:pPr>
        <w:suppressLineNumbers/>
        <w:spacing w:line="360" w:lineRule="auto"/>
        <w:jc w:val="both"/>
        <w:rPr>
          <w:rFonts w:ascii="Times New Roman" w:hAnsi="Times New Roman" w:cs="Times New Roman"/>
          <w:sz w:val="24"/>
          <w:szCs w:val="24"/>
        </w:rPr>
      </w:pPr>
      <w:r w:rsidRPr="00182246">
        <w:rPr>
          <w:rFonts w:ascii="Times New Roman" w:hAnsi="Times New Roman" w:cs="Times New Roman"/>
          <w:sz w:val="24"/>
          <w:szCs w:val="24"/>
        </w:rPr>
        <w:t xml:space="preserve">Paolo Tufoni </w:t>
      </w:r>
      <w:r w:rsidRPr="00182246">
        <w:rPr>
          <w:rFonts w:ascii="Times New Roman" w:hAnsi="Times New Roman" w:cs="Times New Roman"/>
          <w:sz w:val="24"/>
          <w:szCs w:val="24"/>
          <w:vertAlign w:val="superscript"/>
        </w:rPr>
        <w:t>(1,2)</w:t>
      </w:r>
      <w:r w:rsidRPr="00182246">
        <w:rPr>
          <w:rFonts w:ascii="Times New Roman" w:hAnsi="Times New Roman" w:cs="Times New Roman"/>
          <w:sz w:val="24"/>
          <w:szCs w:val="24"/>
        </w:rPr>
        <w:t xml:space="preserve">, </w:t>
      </w:r>
      <w:hyperlink r:id="rId8" w:history="1">
        <w:r w:rsidRPr="00182246">
          <w:rPr>
            <w:rStyle w:val="Hyperlink"/>
            <w:rFonts w:ascii="Times New Roman" w:hAnsi="Times New Roman" w:cs="Times New Roman"/>
            <w:color w:val="auto"/>
            <w:sz w:val="24"/>
            <w:szCs w:val="24"/>
          </w:rPr>
          <w:t>a59862@ualg.pt</w:t>
        </w:r>
      </w:hyperlink>
      <w:r w:rsidRPr="00182246">
        <w:rPr>
          <w:rFonts w:ascii="Times New Roman" w:hAnsi="Times New Roman" w:cs="Times New Roman"/>
          <w:sz w:val="24"/>
          <w:szCs w:val="24"/>
        </w:rPr>
        <w:t xml:space="preserve">; </w:t>
      </w:r>
      <w:r w:rsidRPr="00182246">
        <w:rPr>
          <w:rFonts w:ascii="Times New Roman" w:eastAsiaTheme="majorEastAsia" w:hAnsi="Times New Roman" w:cs="Times New Roman"/>
          <w:sz w:val="24"/>
          <w:szCs w:val="24"/>
        </w:rPr>
        <w:t xml:space="preserve">ORCID iD: </w:t>
      </w:r>
      <w:r w:rsidRPr="00182246">
        <w:rPr>
          <w:rFonts w:ascii="Times New Roman" w:hAnsi="Times New Roman" w:cs="Times New Roman"/>
          <w:sz w:val="24"/>
          <w:szCs w:val="24"/>
        </w:rPr>
        <w:t>0000-0002-6480-6500</w:t>
      </w:r>
    </w:p>
    <w:p w14:paraId="42A863E9" w14:textId="77777777" w:rsidR="00884DBB" w:rsidRPr="00182246" w:rsidRDefault="00884DBB" w:rsidP="00884DBB">
      <w:pPr>
        <w:suppressLineNumbers/>
        <w:spacing w:line="360" w:lineRule="auto"/>
        <w:jc w:val="both"/>
        <w:rPr>
          <w:rFonts w:ascii="Times New Roman" w:hAnsi="Times New Roman" w:cs="Times New Roman"/>
          <w:sz w:val="24"/>
          <w:szCs w:val="24"/>
        </w:rPr>
      </w:pPr>
    </w:p>
    <w:p w14:paraId="510DC945" w14:textId="77777777" w:rsidR="00884DBB" w:rsidRPr="00D25F5C" w:rsidRDefault="00884DBB" w:rsidP="00884DB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D25F5C">
        <w:rPr>
          <w:rFonts w:ascii="Times New Roman" w:hAnsi="Times New Roman" w:cs="Times New Roman"/>
          <w:b/>
          <w:bCs/>
          <w:color w:val="auto"/>
          <w:sz w:val="24"/>
          <w:szCs w:val="24"/>
        </w:rPr>
        <w:t>Address:</w:t>
      </w:r>
    </w:p>
    <w:p w14:paraId="18EF3DED" w14:textId="77777777" w:rsidR="00884DBB" w:rsidRPr="004148D5" w:rsidRDefault="00884DBB" w:rsidP="00884DBB">
      <w:pPr>
        <w:suppressLineNumbers/>
        <w:spacing w:line="360" w:lineRule="auto"/>
        <w:jc w:val="both"/>
        <w:rPr>
          <w:rFonts w:ascii="Times New Roman" w:hAnsi="Times New Roman" w:cs="Times New Roman"/>
          <w:sz w:val="24"/>
          <w:szCs w:val="24"/>
        </w:rPr>
      </w:pPr>
      <w:r w:rsidRPr="004148D5">
        <w:rPr>
          <w:rFonts w:ascii="Times New Roman" w:hAnsi="Times New Roman" w:cs="Times New Roman"/>
          <w:sz w:val="24"/>
          <w:szCs w:val="24"/>
        </w:rPr>
        <w:t xml:space="preserve">University of Algarve, </w:t>
      </w:r>
      <w:r>
        <w:rPr>
          <w:rFonts w:ascii="Times New Roman" w:hAnsi="Times New Roman" w:cs="Times New Roman"/>
          <w:sz w:val="24"/>
          <w:szCs w:val="24"/>
        </w:rPr>
        <w:t xml:space="preserve">Campus Gambelas, </w:t>
      </w:r>
      <w:r w:rsidRPr="004148D5">
        <w:rPr>
          <w:rFonts w:ascii="Times New Roman" w:hAnsi="Times New Roman" w:cs="Times New Roman"/>
          <w:sz w:val="24"/>
          <w:szCs w:val="24"/>
        </w:rPr>
        <w:t>Faro, Portugal.</w:t>
      </w:r>
    </w:p>
    <w:p w14:paraId="149092D4" w14:textId="77777777" w:rsidR="00A42DD4" w:rsidRDefault="00A42DD4" w:rsidP="00A42DD4">
      <w:pPr>
        <w:suppressLineNumbers/>
        <w:spacing w:line="360" w:lineRule="auto"/>
        <w:jc w:val="both"/>
        <w:rPr>
          <w:rFonts w:ascii="Times New Roman" w:hAnsi="Times New Roman" w:cs="Times New Roman"/>
          <w:sz w:val="24"/>
          <w:szCs w:val="24"/>
        </w:rPr>
      </w:pPr>
    </w:p>
    <w:p w14:paraId="36698A11" w14:textId="77777777" w:rsidR="00A42DD4" w:rsidRPr="007329FD" w:rsidRDefault="00A42DD4" w:rsidP="00A42DD4">
      <w:pPr>
        <w:spacing w:after="60"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Description of the reproducible analysis pipeline (analysis_pipeline_2026.R)</w:t>
      </w:r>
    </w:p>
    <w:p w14:paraId="6671CA44" w14:textId="77777777" w:rsidR="00A42DD4" w:rsidRPr="00A42DD4" w:rsidRDefault="00A42DD4" w:rsidP="00A42DD4">
      <w:pPr>
        <w:suppressLineNumbers/>
        <w:spacing w:line="360" w:lineRule="auto"/>
        <w:jc w:val="both"/>
        <w:rPr>
          <w:rFonts w:ascii="Times New Roman" w:hAnsi="Times New Roman" w:cs="Times New Roman"/>
          <w:sz w:val="24"/>
          <w:szCs w:val="24"/>
        </w:rPr>
      </w:pPr>
    </w:p>
    <w:p w14:paraId="5ECEB79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 Purpose and design</w:t>
      </w:r>
    </w:p>
    <w:p w14:paraId="5ECEB79E" w14:textId="547DA371"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quantitative result reported in this review is generated by a single, self-contained R script (analysis_pipeline_</w:t>
      </w:r>
      <w:r w:rsidR="00E74320" w:rsidRPr="007329FD">
        <w:rPr>
          <w:rFonts w:ascii="Times New Roman" w:hAnsi="Times New Roman" w:cs="Times New Roman"/>
          <w:sz w:val="24"/>
          <w:szCs w:val="24"/>
        </w:rPr>
        <w:t>2026</w:t>
      </w:r>
      <w:r w:rsidRPr="007329FD">
        <w:rPr>
          <w:rFonts w:ascii="Times New Roman" w:hAnsi="Times New Roman" w:cs="Times New Roman"/>
          <w:sz w:val="24"/>
          <w:szCs w:val="24"/>
        </w:rPr>
        <w:t>.R) that reads one input workbook (SM_2.xlsx) and regenerates, in one execution and without manual intervention, every derived artefact of the study.</w:t>
      </w:r>
    </w:p>
    <w:p w14:paraId="5ECEB79F" w14:textId="592F990A" w:rsidR="003736AD" w:rsidRPr="007329FD" w:rsidRDefault="008D5759"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w:t>
      </w:r>
      <w:r w:rsidR="00DC2353" w:rsidRPr="007329FD">
        <w:rPr>
          <w:rFonts w:ascii="Times New Roman" w:hAnsi="Times New Roman" w:cs="Times New Roman"/>
          <w:sz w:val="24"/>
          <w:szCs w:val="24"/>
        </w:rPr>
        <w:t xml:space="preserve">he script constructs both harmonised tables from the raw compilations Table_SM_2.2 and Table_SM_2.3 by applying the harmonisation rules of Section S4 cell by cell (Section S4b), writes a cell-level audit of every rule application as a </w:t>
      </w:r>
      <w:r w:rsidRPr="007329FD">
        <w:rPr>
          <w:rFonts w:ascii="Times New Roman" w:hAnsi="Times New Roman" w:cs="Times New Roman"/>
          <w:sz w:val="24"/>
          <w:szCs w:val="24"/>
        </w:rPr>
        <w:t>harmonisation audit</w:t>
      </w:r>
      <w:r w:rsidR="00DC2353" w:rsidRPr="007329FD">
        <w:rPr>
          <w:rFonts w:ascii="Times New Roman" w:hAnsi="Times New Roman" w:cs="Times New Roman"/>
          <w:sz w:val="24"/>
          <w:szCs w:val="24"/>
        </w:rPr>
        <w:t xml:space="preserve"> sheet inside each derived table, and then feeds the tables it has built into every downstream module. The chain from a value as reported in a source publication to a value in a published figure is therefore executed end to end in code, and no step of it is performed by hand.</w:t>
      </w:r>
    </w:p>
    <w:p w14:paraId="5ECEB7A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The artefacts regenerated in one execution are: the harmonised tables and their audit; the censoring assessment and dataset census; the below-limit substitution sensitivity analysis; the descriptive-statistics tables under both weighting schemes; all boxplot figures; the compound-level regressions in their pooled, measured-only and log-transformed forms; the persistence screening with its estimate- and aggregation-sensitivity modules; the regulatory screening appendix with the provenance of all three screening axes; the bibliometric reconciliation; the provenance-resolved half-life lineage and its five ratio analyses; and the two synthesis figures of the main text.</w:t>
      </w:r>
    </w:p>
    <w:p w14:paraId="65F12111"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1"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S2. Software environment and dependencies</w:t>
      </w:r>
    </w:p>
    <w:p w14:paraId="5ECEB7A2" w14:textId="333FA1D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script runs under R and depends on readxl, dplyr, tidyr, tibble, stringr, openxlsx, ggplot2, patchwork, scales, ggrepel, survival, NADA and EnvStats; the ragg device is used for figure rendering if present and is otherwise replaced by the base png device (optional, not required). Missing packages are installed from CRAN at run time. Warnings are not suppressed (options(warn = 1)); console output is otherwise silent by default, and a full diagnostic trace is restored by setting QUIET &lt;- FALSE. All quantile calculations use the type-7 estimator throughout, in every module, so that no two outputs are computed on different conventions.</w:t>
      </w:r>
    </w:p>
    <w:p w14:paraId="5ECEB7A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For deposit, record the output of sessionInfo() alongside the script, and pin package versions with renv so that a reader obtains the same environment.</w:t>
      </w:r>
    </w:p>
    <w:p w14:paraId="6B5075E5"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S3. Input workbook, sheet resolution and defensive reading</w:t>
      </w:r>
    </w:p>
    <w:p w14:paraId="5ECEB7A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S3.1 Required sheets</w:t>
      </w:r>
    </w:p>
    <w:p w14:paraId="5ECEB7A6" w14:textId="484215C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The script locates SM_2.xlsx by searching the analysis folder first and then the working directory and the usual Desktop, Downloads and Documents locations, so the package remains portable. The workbook must contain the reference table Table_SM_2.1 and the two raw compilations Table_SM_2.2 (physicochemical properties) and Table_SM_2.3 (environmental fate); these three are the only required sheets. </w:t>
      </w:r>
    </w:p>
    <w:p w14:paraId="708F7019"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7"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S3.2 Sheet and header resolution</w:t>
      </w:r>
    </w:p>
    <w:p w14:paraId="5ECEB7A8" w14:textId="2A4A4903"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The number of caption rows above the header is detected per sheet rather than assumed, so a sheet gains or loses a title row without breaking the reader.</w:t>
      </w:r>
    </w:p>
    <w:p w14:paraId="3F805BC0"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9"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S3.3 Unicode normalisation and the encoding log</w:t>
      </w:r>
    </w:p>
    <w:p w14:paraId="5ECEB7AA"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read passes through one reader that converts the nine Unicode dash variants to an ASCII hyphen, deletes non-breaking and zero-width spaces, and maps the Greek mu to the micro sign. Without this step an entry typed with a non-breaking space or an en-dash is silently unparsable. The substitutions are logged and reported.</w:t>
      </w:r>
    </w:p>
    <w:p w14:paraId="2E12F889" w14:textId="77777777" w:rsidR="00896AC0" w:rsidRPr="007329FD" w:rsidRDefault="00896AC0" w:rsidP="007329FD">
      <w:pPr>
        <w:spacing w:after="140" w:line="360" w:lineRule="auto"/>
        <w:jc w:val="both"/>
        <w:rPr>
          <w:rFonts w:ascii="Times New Roman" w:hAnsi="Times New Roman" w:cs="Times New Roman"/>
          <w:sz w:val="24"/>
          <w:szCs w:val="24"/>
        </w:rPr>
      </w:pPr>
    </w:p>
    <w:p w14:paraId="5ECEB7AF"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S4. Harmonisation rules</w:t>
      </w:r>
    </w:p>
    <w:p w14:paraId="5ECEB7B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Non-standard and censored entries are handled by a fixed, pre-declared set of decision rules (Table S.2). A central distinction governs the treatment of censored data: a value is left-censored only if it carries a censoring symbol and has no detected upper bound. A reported range with a measured upper bound — including a censored-floor range such as n.d.–y or &lt;x–y — carries a genuine detection and is entered at its midpoint in the primary Kaplan–Meier estimator (the interval form, value between the lowest detected value m and the measured upper bound y, is used only in the Turnbull sensitivity), not counted as a non-detect. Treating such ranges as non-detects would inflate the censoring rate and discard real measurements; because this distinction changes the reported censoring rate materially, the census tabulates the two sub-counts separately (Section S5).</w:t>
      </w:r>
    </w:p>
    <w:p w14:paraId="2C4B3796" w14:textId="77777777" w:rsidR="007329FD" w:rsidRPr="007329FD" w:rsidRDefault="007329FD" w:rsidP="007329FD">
      <w:pPr>
        <w:spacing w:after="140" w:line="360" w:lineRule="auto"/>
        <w:jc w:val="both"/>
        <w:rPr>
          <w:rFonts w:ascii="Times New Roman" w:hAnsi="Times New Roman" w:cs="Times New Roman"/>
          <w:sz w:val="24"/>
          <w:szCs w:val="24"/>
        </w:rPr>
      </w:pPr>
    </w:p>
    <w:p w14:paraId="5ECEB7B1"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S.2. Harmonisation decision rules applied to each reported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5460"/>
      </w:tblGrid>
      <w:tr w:rsidR="003736AD" w:rsidRPr="007329FD" w14:paraId="5ECEB7B5" w14:textId="77777777">
        <w:trPr>
          <w:tblHeader/>
        </w:trPr>
        <w:tc>
          <w:tcPr>
            <w:tcW w:w="700" w:type="dxa"/>
            <w:shd w:val="clear" w:color="auto" w:fill="DCE6F1"/>
            <w:tcMar>
              <w:top w:w="60" w:type="dxa"/>
              <w:left w:w="90" w:type="dxa"/>
              <w:bottom w:w="60" w:type="dxa"/>
              <w:right w:w="90" w:type="dxa"/>
            </w:tcMar>
          </w:tcPr>
          <w:p w14:paraId="5ECEB7B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Rule</w:t>
            </w:r>
          </w:p>
        </w:tc>
        <w:tc>
          <w:tcPr>
            <w:tcW w:w="3200" w:type="dxa"/>
            <w:shd w:val="clear" w:color="auto" w:fill="DCE6F1"/>
            <w:tcMar>
              <w:top w:w="60" w:type="dxa"/>
              <w:left w:w="90" w:type="dxa"/>
              <w:bottom w:w="60" w:type="dxa"/>
              <w:right w:w="90" w:type="dxa"/>
            </w:tcMar>
          </w:tcPr>
          <w:p w14:paraId="5ECEB7B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Reported form</w:t>
            </w:r>
          </w:p>
        </w:tc>
        <w:tc>
          <w:tcPr>
            <w:tcW w:w="5460" w:type="dxa"/>
            <w:shd w:val="clear" w:color="auto" w:fill="DCE6F1"/>
            <w:tcMar>
              <w:top w:w="60" w:type="dxa"/>
              <w:left w:w="90" w:type="dxa"/>
              <w:bottom w:w="60" w:type="dxa"/>
              <w:right w:w="90" w:type="dxa"/>
            </w:tcMar>
          </w:tcPr>
          <w:p w14:paraId="5ECEB7B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Harmonised value</w:t>
            </w:r>
          </w:p>
        </w:tc>
      </w:tr>
      <w:tr w:rsidR="003736AD" w:rsidRPr="007329FD" w14:paraId="5ECEB7B9" w14:textId="77777777">
        <w:tc>
          <w:tcPr>
            <w:tcW w:w="700" w:type="dxa"/>
            <w:tcMar>
              <w:top w:w="60" w:type="dxa"/>
              <w:left w:w="90" w:type="dxa"/>
              <w:bottom w:w="60" w:type="dxa"/>
              <w:right w:w="90" w:type="dxa"/>
            </w:tcMar>
          </w:tcPr>
          <w:p w14:paraId="5ECEB7B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w:t>
            </w:r>
          </w:p>
        </w:tc>
        <w:tc>
          <w:tcPr>
            <w:tcW w:w="3200" w:type="dxa"/>
            <w:tcMar>
              <w:top w:w="60" w:type="dxa"/>
              <w:left w:w="90" w:type="dxa"/>
              <w:bottom w:w="60" w:type="dxa"/>
              <w:right w:w="90" w:type="dxa"/>
            </w:tcMar>
          </w:tcPr>
          <w:p w14:paraId="5ECEB7B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Left-censored value: n.d., &lt;LOQ, &lt;LOD, &lt;DL, &lt;x</w:t>
            </w:r>
          </w:p>
        </w:tc>
        <w:tc>
          <w:tcPr>
            <w:tcW w:w="5460" w:type="dxa"/>
            <w:tcMar>
              <w:top w:w="60" w:type="dxa"/>
              <w:left w:w="90" w:type="dxa"/>
              <w:bottom w:w="60" w:type="dxa"/>
              <w:right w:w="90" w:type="dxa"/>
            </w:tcMar>
          </w:tcPr>
          <w:p w14:paraId="5ECEB7B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Retained as censored. A stated limit x → left-censored at x; a non-detect with no limit → left-censored at the lowest detected value m of the same variable/matrix (Helsel 2012). Concentrations are summarised with censored estimators (Kaplan–Meier primary; </w:t>
            </w:r>
            <w:r w:rsidRPr="007329FD">
              <w:rPr>
                <w:rFonts w:ascii="Times New Roman" w:hAnsi="Times New Roman" w:cs="Times New Roman"/>
                <w:sz w:val="24"/>
                <w:szCs w:val="24"/>
              </w:rPr>
              <w:lastRenderedPageBreak/>
              <w:t>Turnbull/DL2 cross-checks), not by substitution. No fixed constant is used.</w:t>
            </w:r>
          </w:p>
        </w:tc>
      </w:tr>
      <w:tr w:rsidR="003736AD" w:rsidRPr="007329FD" w14:paraId="5ECEB7BD" w14:textId="77777777">
        <w:tc>
          <w:tcPr>
            <w:tcW w:w="700" w:type="dxa"/>
            <w:tcMar>
              <w:top w:w="60" w:type="dxa"/>
              <w:left w:w="90" w:type="dxa"/>
              <w:bottom w:w="60" w:type="dxa"/>
              <w:right w:w="90" w:type="dxa"/>
            </w:tcMar>
          </w:tcPr>
          <w:p w14:paraId="5ECEB7B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ii</w:t>
            </w:r>
          </w:p>
        </w:tc>
        <w:tc>
          <w:tcPr>
            <w:tcW w:w="3200" w:type="dxa"/>
            <w:tcMar>
              <w:top w:w="60" w:type="dxa"/>
              <w:left w:w="90" w:type="dxa"/>
              <w:bottom w:w="60" w:type="dxa"/>
              <w:right w:w="90" w:type="dxa"/>
            </w:tcMar>
          </w:tcPr>
          <w:p w14:paraId="5ECEB7B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Range a–b, including a censored floor n.d.–b or &lt;x–b</w:t>
            </w:r>
          </w:p>
        </w:tc>
        <w:tc>
          <w:tcPr>
            <w:tcW w:w="5460" w:type="dxa"/>
            <w:tcMar>
              <w:top w:w="60" w:type="dxa"/>
              <w:left w:w="90" w:type="dxa"/>
              <w:bottom w:w="60" w:type="dxa"/>
              <w:right w:w="90" w:type="dxa"/>
            </w:tcMar>
          </w:tcPr>
          <w:p w14:paraId="5ECEB7B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Detected upper bound present → a detection, entered at its midpoint in the primary Kaplan–Meier estimator. The interval form (n.d.-y and &lt;x-y as interval (m, y) with m the lowest detected value; a-b as (a, b)) is used only in the Turnbull sensitivity.</w:t>
            </w:r>
          </w:p>
        </w:tc>
      </w:tr>
      <w:tr w:rsidR="003736AD" w:rsidRPr="007329FD" w14:paraId="5ECEB7C1" w14:textId="77777777">
        <w:tc>
          <w:tcPr>
            <w:tcW w:w="700" w:type="dxa"/>
            <w:tcMar>
              <w:top w:w="60" w:type="dxa"/>
              <w:left w:w="90" w:type="dxa"/>
              <w:bottom w:w="60" w:type="dxa"/>
              <w:right w:w="90" w:type="dxa"/>
            </w:tcMar>
          </w:tcPr>
          <w:p w14:paraId="5ECEB7B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iii</w:t>
            </w:r>
          </w:p>
        </w:tc>
        <w:tc>
          <w:tcPr>
            <w:tcW w:w="3200" w:type="dxa"/>
            <w:tcMar>
              <w:top w:w="60" w:type="dxa"/>
              <w:left w:w="90" w:type="dxa"/>
              <w:bottom w:w="60" w:type="dxa"/>
              <w:right w:w="90" w:type="dxa"/>
            </w:tcMar>
          </w:tcPr>
          <w:p w14:paraId="5ECEB7B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Right-censored, &gt;x</w:t>
            </w:r>
          </w:p>
        </w:tc>
        <w:tc>
          <w:tcPr>
            <w:tcW w:w="5460" w:type="dxa"/>
            <w:tcMar>
              <w:top w:w="60" w:type="dxa"/>
              <w:left w:w="90" w:type="dxa"/>
              <w:bottom w:w="60" w:type="dxa"/>
              <w:right w:w="90" w:type="dxa"/>
            </w:tcMar>
          </w:tcPr>
          <w:p w14:paraId="5ECEB7C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Conservative lower-bound estimate, x</w:t>
            </w:r>
          </w:p>
        </w:tc>
      </w:tr>
      <w:tr w:rsidR="003736AD" w:rsidRPr="007329FD" w14:paraId="5ECEB7C5" w14:textId="77777777">
        <w:tc>
          <w:tcPr>
            <w:tcW w:w="700" w:type="dxa"/>
            <w:tcMar>
              <w:top w:w="60" w:type="dxa"/>
              <w:left w:w="90" w:type="dxa"/>
              <w:bottom w:w="60" w:type="dxa"/>
              <w:right w:w="90" w:type="dxa"/>
            </w:tcMar>
          </w:tcPr>
          <w:p w14:paraId="5ECEB7C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iv</w:t>
            </w:r>
          </w:p>
        </w:tc>
        <w:tc>
          <w:tcPr>
            <w:tcW w:w="3200" w:type="dxa"/>
            <w:tcMar>
              <w:top w:w="60" w:type="dxa"/>
              <w:left w:w="90" w:type="dxa"/>
              <w:bottom w:w="60" w:type="dxa"/>
              <w:right w:w="90" w:type="dxa"/>
            </w:tcMar>
          </w:tcPr>
          <w:p w14:paraId="5ECEB7C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Approximate or uncertain: ≈x, ~x, x ± SD, x ± SE</w:t>
            </w:r>
          </w:p>
        </w:tc>
        <w:tc>
          <w:tcPr>
            <w:tcW w:w="5460" w:type="dxa"/>
            <w:tcMar>
              <w:top w:w="60" w:type="dxa"/>
              <w:left w:w="90" w:type="dxa"/>
              <w:bottom w:w="60" w:type="dxa"/>
              <w:right w:w="90" w:type="dxa"/>
            </w:tcMar>
          </w:tcPr>
          <w:p w14:paraId="5ECEB7C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Central estimate, x</w:t>
            </w:r>
          </w:p>
        </w:tc>
      </w:tr>
      <w:tr w:rsidR="003736AD" w:rsidRPr="007329FD" w14:paraId="5ECEB7C9" w14:textId="77777777">
        <w:tc>
          <w:tcPr>
            <w:tcW w:w="700" w:type="dxa"/>
            <w:tcMar>
              <w:top w:w="60" w:type="dxa"/>
              <w:left w:w="90" w:type="dxa"/>
              <w:bottom w:w="60" w:type="dxa"/>
              <w:right w:w="90" w:type="dxa"/>
            </w:tcMar>
          </w:tcPr>
          <w:p w14:paraId="5ECEB7C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w:t>
            </w:r>
          </w:p>
        </w:tc>
        <w:tc>
          <w:tcPr>
            <w:tcW w:w="3200" w:type="dxa"/>
            <w:tcMar>
              <w:top w:w="60" w:type="dxa"/>
              <w:left w:w="90" w:type="dxa"/>
              <w:bottom w:w="60" w:type="dxa"/>
              <w:right w:w="90" w:type="dxa"/>
            </w:tcMar>
          </w:tcPr>
          <w:p w14:paraId="5ECEB7C7" w14:textId="77777777" w:rsidR="003736AD" w:rsidRPr="007329FD" w:rsidRDefault="00DC2353" w:rsidP="007329FD">
            <w:pPr>
              <w:spacing w:line="360" w:lineRule="auto"/>
              <w:jc w:val="both"/>
              <w:rPr>
                <w:rFonts w:ascii="Times New Roman" w:hAnsi="Times New Roman" w:cs="Times New Roman"/>
                <w:sz w:val="24"/>
                <w:szCs w:val="24"/>
                <w:lang w:val="it-IT"/>
              </w:rPr>
            </w:pPr>
            <w:r w:rsidRPr="007329FD">
              <w:rPr>
                <w:rFonts w:ascii="Times New Roman" w:hAnsi="Times New Roman" w:cs="Times New Roman"/>
                <w:sz w:val="24"/>
                <w:szCs w:val="24"/>
                <w:lang w:val="it-IT"/>
              </w:rPr>
              <w:t>Qualitative extreme (</w:t>
            </w:r>
            <w:r w:rsidRPr="007329FD">
              <w:rPr>
                <w:rFonts w:ascii="Cambria Math" w:hAnsi="Cambria Math" w:cs="Cambria Math"/>
                <w:sz w:val="24"/>
                <w:szCs w:val="24"/>
                <w:lang w:val="it-IT"/>
              </w:rPr>
              <w:t>≫</w:t>
            </w:r>
            <w:r w:rsidRPr="007329FD">
              <w:rPr>
                <w:rFonts w:ascii="Times New Roman" w:hAnsi="Times New Roman" w:cs="Times New Roman"/>
                <w:sz w:val="24"/>
                <w:szCs w:val="24"/>
                <w:lang w:val="it-IT"/>
              </w:rPr>
              <w:t xml:space="preserve">, </w:t>
            </w:r>
            <w:r w:rsidRPr="007329FD">
              <w:rPr>
                <w:rFonts w:ascii="Cambria Math" w:hAnsi="Cambria Math" w:cs="Cambria Math"/>
                <w:sz w:val="24"/>
                <w:szCs w:val="24"/>
                <w:lang w:val="it-IT"/>
              </w:rPr>
              <w:t>≪</w:t>
            </w:r>
            <w:r w:rsidRPr="007329FD">
              <w:rPr>
                <w:rFonts w:ascii="Times New Roman" w:hAnsi="Times New Roman" w:cs="Times New Roman"/>
                <w:sz w:val="24"/>
                <w:szCs w:val="24"/>
                <w:lang w:val="it-IT"/>
              </w:rPr>
              <w:t>), N.A., non-quantitative text, blank</w:t>
            </w:r>
          </w:p>
        </w:tc>
        <w:tc>
          <w:tcPr>
            <w:tcW w:w="5460" w:type="dxa"/>
            <w:tcMar>
              <w:top w:w="60" w:type="dxa"/>
              <w:left w:w="90" w:type="dxa"/>
              <w:bottom w:w="60" w:type="dxa"/>
              <w:right w:w="90" w:type="dxa"/>
            </w:tcMar>
          </w:tcPr>
          <w:p w14:paraId="5ECEB7C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Excluded from the analysis. No such entries occur in the compiled dataset (verified); the rule is retained only as a defensive parser guard.</w:t>
            </w:r>
          </w:p>
        </w:tc>
      </w:tr>
      <w:tr w:rsidR="003736AD" w:rsidRPr="007329FD" w14:paraId="5ECEB7CD" w14:textId="77777777">
        <w:tc>
          <w:tcPr>
            <w:tcW w:w="700" w:type="dxa"/>
            <w:tcMar>
              <w:top w:w="60" w:type="dxa"/>
              <w:left w:w="90" w:type="dxa"/>
              <w:bottom w:w="60" w:type="dxa"/>
              <w:right w:w="90" w:type="dxa"/>
            </w:tcMar>
          </w:tcPr>
          <w:p w14:paraId="5ECEB7C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vi</w:t>
            </w:r>
          </w:p>
        </w:tc>
        <w:tc>
          <w:tcPr>
            <w:tcW w:w="3200" w:type="dxa"/>
            <w:tcMar>
              <w:top w:w="60" w:type="dxa"/>
              <w:left w:w="90" w:type="dxa"/>
              <w:bottom w:w="60" w:type="dxa"/>
              <w:right w:w="90" w:type="dxa"/>
            </w:tcMar>
          </w:tcPr>
          <w:p w14:paraId="5ECEB7C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 reported as 0, standalone or as the lower bound of a range</w:t>
            </w:r>
          </w:p>
        </w:tc>
        <w:tc>
          <w:tcPr>
            <w:tcW w:w="5460" w:type="dxa"/>
            <w:tcMar>
              <w:top w:w="60" w:type="dxa"/>
              <w:left w:w="90" w:type="dxa"/>
              <w:bottom w:w="60" w:type="dxa"/>
              <w:right w:w="90" w:type="dxa"/>
            </w:tcMar>
          </w:tcPr>
          <w:p w14:paraId="5ECEB7C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Treated as a non-detect: a standalone 0 is left-censored at the variable's lowest detected value; a 0 as a range lower bound enters as a censored-floor (interval-censored) range.</w:t>
            </w:r>
          </w:p>
        </w:tc>
      </w:tr>
      <w:tr w:rsidR="003736AD" w:rsidRPr="007329FD" w14:paraId="5ECEB7D1" w14:textId="77777777">
        <w:tc>
          <w:tcPr>
            <w:tcW w:w="700" w:type="dxa"/>
            <w:tcMar>
              <w:top w:w="60" w:type="dxa"/>
              <w:left w:w="90" w:type="dxa"/>
              <w:bottom w:w="60" w:type="dxa"/>
              <w:right w:w="90" w:type="dxa"/>
            </w:tcMar>
          </w:tcPr>
          <w:p w14:paraId="5ECEB7C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vii</w:t>
            </w:r>
          </w:p>
        </w:tc>
        <w:tc>
          <w:tcPr>
            <w:tcW w:w="3200" w:type="dxa"/>
            <w:tcMar>
              <w:top w:w="60" w:type="dxa"/>
              <w:left w:w="90" w:type="dxa"/>
              <w:bottom w:w="60" w:type="dxa"/>
              <w:right w:w="90" w:type="dxa"/>
            </w:tcMar>
          </w:tcPr>
          <w:p w14:paraId="5ECEB7C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Half-life reported as 0 d</w:t>
            </w:r>
          </w:p>
        </w:tc>
        <w:tc>
          <w:tcPr>
            <w:tcW w:w="5460" w:type="dxa"/>
            <w:tcMar>
              <w:top w:w="60" w:type="dxa"/>
              <w:left w:w="90" w:type="dxa"/>
              <w:bottom w:w="60" w:type="dxa"/>
              <w:right w:w="90" w:type="dxa"/>
            </w:tcMar>
          </w:tcPr>
          <w:p w14:paraId="5ECEB7D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Excluded: a half-life of 0 implies an infinite degradation rate and is physically implausible</w:t>
            </w:r>
          </w:p>
        </w:tc>
      </w:tr>
    </w:tbl>
    <w:p w14:paraId="0C94A71D" w14:textId="77777777" w:rsidR="007329FD" w:rsidRDefault="007329FD" w:rsidP="007329FD">
      <w:pPr>
        <w:spacing w:after="140" w:line="360" w:lineRule="auto"/>
        <w:jc w:val="both"/>
        <w:rPr>
          <w:rFonts w:ascii="Times New Roman" w:hAnsi="Times New Roman" w:cs="Times New Roman"/>
          <w:sz w:val="24"/>
          <w:szCs w:val="24"/>
        </w:rPr>
      </w:pPr>
    </w:p>
    <w:p w14:paraId="5ECEB7D2" w14:textId="5CA04C1C"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Rule (i) no longer substitutes a fixed assumed limit for a non-detect. A left-censored value is retained as censored: a value reported with a limit is left-censored at that limit (x), and a non-detect reported without any limit is assigned, separately within each variable and matrix, the lowest detected value m of that same variable as its censoring limit (Helsel, 2012) — never a cross-matrix constant, so a sediment non-detect takes the lowest detected sediment value in µg kg⁻¹ and never an aqueous value. The four concentration variables are then summarised with censored-data estimators (Section S8): the Kaplan–Meier estimator (left-censored nonparametric MLE), with censored-floor ranges treated as detections at their midpoint, as the primary estimate, with a Turnbull interval-censored estimate as a conservative lower-bound sensitivity and DL/2 substitution as a cross-check. All four variables are below 50% censored, </w:t>
      </w:r>
      <w:r w:rsidRPr="007329FD">
        <w:rPr>
          <w:rFonts w:ascii="Times New Roman" w:hAnsi="Times New Roman" w:cs="Times New Roman"/>
          <w:sz w:val="24"/>
          <w:szCs w:val="24"/>
        </w:rPr>
        <w:lastRenderedPageBreak/>
        <w:t>the regime in which Helsel's decision rule prescribes these nonparametric estimators. For the physicochemical descriptors and half-lives, where censoring is below ~7% and no limit-free non-detects occur, a stated limit is halved (x/2) and a limit-free non-detect is excluded. The former fixed assumed limit (1 × 10⁻⁴, halved to 5 × 10⁻⁵) is retired; the harmonised tables remain a deterministic function of the raw tables alone.</w:t>
      </w:r>
    </w:p>
    <w:p w14:paraId="5ECEB7D3" w14:textId="3A60545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Rule (vi): A concentration reported as 0 carries the same information as a non-detect — the analyte was not measurably present — and is resolved as a non-detect rather than retained as a measured zero. A standalone 0 is treated as a limit-free non-detect (left-censored at the variable's lowest detected value in the estimator); a 0 forming the lower bound of a range, such as 0–0.197, is treated as a censored-floor range and enters the estimator as interval-censored data between m and 0.197, with m the lowest detected value of the variable. Physicochemical properties are never affected: a logarithm of 0 is a ratio of 1 and is a genuine value.</w:t>
      </w:r>
    </w:p>
    <w:p w14:paraId="2A645C84"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S4b. Module 0 — construction of the harmonised tables</w:t>
      </w:r>
    </w:p>
    <w:p w14:paraId="5ECEB7D5"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Section 2H of the script builds Table_SM_2.5 from Table_SM_2.2 and Table_SM_2.6 from Table_SM_2.3, and is the first module to execute after the input workbook is located.</w:t>
      </w:r>
    </w:p>
    <w:p w14:paraId="3486B78B"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6"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S4b.1 One output row per input row</w:t>
      </w:r>
    </w:p>
    <w:p w14:paraId="5ECEB7D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constructor preserves row order and row count exactly: Table_SM_2.6 has one row for every row of Table_SM_2.3, and Table_SM_2.5 one row for every row of Table_SM_2.2, in the same sequence and with the same compound and reference tags. Every harmonised value can therefore be traced to the raw cell that produced it by row number alone, and any divergence between the two tables is a defect rather than a re-ordering. Compound and class labels are carried forward across the blank cells that mark a continued compound block; molecular weight, which is a compound-intrinsic constant reported once per compound in the raw table, is broadcast to every row of that compound so that the record-weighted summaries treat it like the other descriptors.</w:t>
      </w:r>
    </w:p>
    <w:p w14:paraId="2FA095B8"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S4b.2 The parser</w:t>
      </w:r>
    </w:p>
    <w:p w14:paraId="5ECEB7D9" w14:textId="71063B41"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Each non-empty raw cell is passed to one parser that returns the rule applied and the value produced, or a missing value and the reason for exclusion. The parser normalises Unicode dashes and invisible spaces, converts the a × 10ⁿ form to E-notation before any range is tested so that an exponent is never mistaken for a range separator. A range is detected only where a hyphen follows a digit or a closing parenthesis and precedes a number, a sign or a censoring symbol; a censored floor is matched explicitly and its lower bound resolved under rule (i) before the midpoint is taken. Descending ranges are ordered before averaging.</w:t>
      </w:r>
    </w:p>
    <w:p w14:paraId="176FDEB0"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B"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S4b.3 Declared parameters</w:t>
      </w:r>
    </w:p>
    <w:p w14:paraId="5ECEB7D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choice that rules (i)–(vii) do not fully determine is exposed as a named constant at the head of the module, reported in the audit, and listed here.</w:t>
      </w:r>
    </w:p>
    <w:p w14:paraId="66FB30BC"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D"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S.2b. Declared harmonisation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1"/>
        <w:gridCol w:w="2100"/>
        <w:gridCol w:w="3839"/>
      </w:tblGrid>
      <w:tr w:rsidR="003736AD" w:rsidRPr="007329FD" w14:paraId="5ECEB7E1" w14:textId="77777777">
        <w:trPr>
          <w:tblHeader/>
        </w:trPr>
        <w:tc>
          <w:tcPr>
            <w:tcW w:w="2900" w:type="dxa"/>
            <w:shd w:val="clear" w:color="auto" w:fill="DCE6F1"/>
            <w:tcMar>
              <w:top w:w="60" w:type="dxa"/>
              <w:left w:w="90" w:type="dxa"/>
              <w:bottom w:w="60" w:type="dxa"/>
              <w:right w:w="90" w:type="dxa"/>
            </w:tcMar>
          </w:tcPr>
          <w:p w14:paraId="5ECEB7D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Parameter</w:t>
            </w:r>
          </w:p>
        </w:tc>
        <w:tc>
          <w:tcPr>
            <w:tcW w:w="1400" w:type="dxa"/>
            <w:shd w:val="clear" w:color="auto" w:fill="DCE6F1"/>
            <w:tcMar>
              <w:top w:w="60" w:type="dxa"/>
              <w:left w:w="90" w:type="dxa"/>
              <w:bottom w:w="60" w:type="dxa"/>
              <w:right w:w="90" w:type="dxa"/>
            </w:tcMar>
          </w:tcPr>
          <w:p w14:paraId="5ECEB7D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Value</w:t>
            </w:r>
          </w:p>
        </w:tc>
        <w:tc>
          <w:tcPr>
            <w:tcW w:w="5060" w:type="dxa"/>
            <w:shd w:val="clear" w:color="auto" w:fill="DCE6F1"/>
            <w:tcMar>
              <w:top w:w="60" w:type="dxa"/>
              <w:left w:w="90" w:type="dxa"/>
              <w:bottom w:w="60" w:type="dxa"/>
              <w:right w:w="90" w:type="dxa"/>
            </w:tcMar>
          </w:tcPr>
          <w:p w14:paraId="5ECEB7E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Meaning</w:t>
            </w:r>
          </w:p>
        </w:tc>
      </w:tr>
      <w:tr w:rsidR="003736AD" w:rsidRPr="007329FD" w14:paraId="5ECEB7E5" w14:textId="77777777">
        <w:tc>
          <w:tcPr>
            <w:tcW w:w="2900" w:type="dxa"/>
            <w:tcMar>
              <w:top w:w="60" w:type="dxa"/>
              <w:left w:w="90" w:type="dxa"/>
              <w:bottom w:w="60" w:type="dxa"/>
              <w:right w:w="90" w:type="dxa"/>
            </w:tcMar>
          </w:tcPr>
          <w:p w14:paraId="5ECEB7E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HARM_ND_LIMIT_WATER</w:t>
            </w:r>
          </w:p>
        </w:tc>
        <w:tc>
          <w:tcPr>
            <w:tcW w:w="1400" w:type="dxa"/>
            <w:tcMar>
              <w:top w:w="60" w:type="dxa"/>
              <w:left w:w="90" w:type="dxa"/>
              <w:bottom w:w="60" w:type="dxa"/>
              <w:right w:w="90" w:type="dxa"/>
            </w:tcMar>
          </w:tcPr>
          <w:p w14:paraId="5ECEB7E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 (was 1e-4). No fixed assumed limit; a no-limit non-detect enters the censored estimator at the lowest detected value of its variable (µg L⁻¹: C_SW, C_HZ, C_GW).</w:t>
            </w:r>
          </w:p>
        </w:tc>
      </w:tr>
      <w:tr w:rsidR="003736AD" w:rsidRPr="007329FD" w14:paraId="5ECEB7E9" w14:textId="77777777">
        <w:tc>
          <w:tcPr>
            <w:tcW w:w="2900" w:type="dxa"/>
            <w:tcMar>
              <w:top w:w="60" w:type="dxa"/>
              <w:left w:w="90" w:type="dxa"/>
              <w:bottom w:w="60" w:type="dxa"/>
              <w:right w:w="90" w:type="dxa"/>
            </w:tcMar>
          </w:tcPr>
          <w:p w14:paraId="5ECEB7E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HARM_ND_LIMIT_SED</w:t>
            </w:r>
          </w:p>
        </w:tc>
        <w:tc>
          <w:tcPr>
            <w:tcW w:w="1400" w:type="dxa"/>
            <w:tcMar>
              <w:top w:w="60" w:type="dxa"/>
              <w:left w:w="90" w:type="dxa"/>
              <w:bottom w:w="60" w:type="dxa"/>
              <w:right w:w="90" w:type="dxa"/>
            </w:tcMar>
          </w:tcPr>
          <w:p w14:paraId="5ECEB7E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 (was 1e-4). As above for C_SED (µg kg⁻¹).</w:t>
            </w:r>
          </w:p>
        </w:tc>
      </w:tr>
      <w:tr w:rsidR="003736AD" w:rsidRPr="007329FD" w14:paraId="5ECEB7ED" w14:textId="77777777">
        <w:tc>
          <w:tcPr>
            <w:tcW w:w="2900" w:type="dxa"/>
            <w:tcMar>
              <w:top w:w="60" w:type="dxa"/>
              <w:left w:w="90" w:type="dxa"/>
              <w:bottom w:w="60" w:type="dxa"/>
              <w:right w:w="90" w:type="dxa"/>
            </w:tcMar>
          </w:tcPr>
          <w:p w14:paraId="5ECEB7E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 estimator</w:t>
            </w:r>
          </w:p>
        </w:tc>
        <w:tc>
          <w:tcPr>
            <w:tcW w:w="1400" w:type="dxa"/>
            <w:tcMar>
              <w:top w:w="60" w:type="dxa"/>
              <w:left w:w="90" w:type="dxa"/>
              <w:bottom w:w="60" w:type="dxa"/>
              <w:right w:w="90" w:type="dxa"/>
            </w:tcMar>
          </w:tcPr>
          <w:p w14:paraId="5ECEB7E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Kaplan–Meier</w:t>
            </w:r>
          </w:p>
        </w:tc>
        <w:tc>
          <w:tcPr>
            <w:tcW w:w="5060" w:type="dxa"/>
            <w:tcMar>
              <w:top w:w="60" w:type="dxa"/>
              <w:left w:w="90" w:type="dxa"/>
              <w:bottom w:w="60" w:type="dxa"/>
              <w:right w:w="90" w:type="dxa"/>
            </w:tcMar>
          </w:tcPr>
          <w:p w14:paraId="5ECEB7E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Primary: Kaplan–Meier (left-censored NPMLE, survival::survfit); censored-floor ranges as detections at their midpoint. Turnbull (ranges as intervals) is a conservative lower-bound sensitivity; DL/2 and, where NADA is available, robust ROS are cross-checks. By-class estimates </w:t>
            </w:r>
            <w:r w:rsidRPr="007329FD">
              <w:rPr>
                <w:rFonts w:ascii="Times New Roman" w:hAnsi="Times New Roman" w:cs="Times New Roman"/>
                <w:sz w:val="24"/>
                <w:szCs w:val="24"/>
              </w:rPr>
              <w:lastRenderedPageBreak/>
              <w:t>require &gt;=3 detections and n&gt;=5, else detection frequency.</w:t>
            </w:r>
          </w:p>
        </w:tc>
      </w:tr>
      <w:tr w:rsidR="003736AD" w:rsidRPr="007329FD" w14:paraId="5ECEB7F1" w14:textId="77777777">
        <w:tc>
          <w:tcPr>
            <w:tcW w:w="2900" w:type="dxa"/>
            <w:tcMar>
              <w:top w:w="60" w:type="dxa"/>
              <w:left w:w="90" w:type="dxa"/>
              <w:bottom w:w="60" w:type="dxa"/>
              <w:right w:w="90" w:type="dxa"/>
            </w:tcMar>
          </w:tcPr>
          <w:p w14:paraId="5ECEB7E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lastRenderedPageBreak/>
              <w:t>HARM_ND_HL_POLICY</w:t>
            </w:r>
          </w:p>
        </w:tc>
        <w:tc>
          <w:tcPr>
            <w:tcW w:w="1400" w:type="dxa"/>
            <w:tcMar>
              <w:top w:w="60" w:type="dxa"/>
              <w:left w:w="90" w:type="dxa"/>
              <w:bottom w:w="60" w:type="dxa"/>
              <w:right w:w="90" w:type="dxa"/>
            </w:tcMar>
          </w:tcPr>
          <w:p w14:paraId="5ECEB7E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Treatment of a bare non-detect in a half-life column. A concentration limit cannot be transferred to a half-life: “not detected” is a statement about the analyte, not about its persistence, and substituting 5 × 10⁻⁵ would assert a half-life of four seconds. A stated limit is still halved. No entry of this kind occurs in the delivered compilation</w:t>
            </w:r>
          </w:p>
        </w:tc>
      </w:tr>
      <w:tr w:rsidR="003736AD" w:rsidRPr="007329FD" w14:paraId="5ECEB7F5" w14:textId="77777777">
        <w:tc>
          <w:tcPr>
            <w:tcW w:w="2900" w:type="dxa"/>
            <w:tcMar>
              <w:top w:w="60" w:type="dxa"/>
              <w:left w:w="90" w:type="dxa"/>
              <w:bottom w:w="60" w:type="dxa"/>
              <w:right w:w="90" w:type="dxa"/>
            </w:tcMar>
          </w:tcPr>
          <w:p w14:paraId="5ECEB7F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HARM_ND_PROP_POLICY</w:t>
            </w:r>
          </w:p>
        </w:tc>
        <w:tc>
          <w:tcPr>
            <w:tcW w:w="1400" w:type="dxa"/>
            <w:tcMar>
              <w:top w:w="60" w:type="dxa"/>
              <w:left w:w="90" w:type="dxa"/>
              <w:bottom w:w="60" w:type="dxa"/>
              <w:right w:w="90" w:type="dxa"/>
            </w:tcMar>
          </w:tcPr>
          <w:p w14:paraId="5ECEB7F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Treatment of a bare non-detect in a physicochemical column, for the same reason</w:t>
            </w:r>
          </w:p>
        </w:tc>
      </w:tr>
      <w:tr w:rsidR="003736AD" w:rsidRPr="007329FD" w14:paraId="5ECEB7F9" w14:textId="77777777">
        <w:tc>
          <w:tcPr>
            <w:tcW w:w="2900" w:type="dxa"/>
            <w:tcMar>
              <w:top w:w="60" w:type="dxa"/>
              <w:left w:w="90" w:type="dxa"/>
              <w:bottom w:w="60" w:type="dxa"/>
              <w:right w:w="90" w:type="dxa"/>
            </w:tcMar>
          </w:tcPr>
          <w:p w14:paraId="5ECEB7F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HARM_ZERO_CONC_POLICY</w:t>
            </w:r>
          </w:p>
        </w:tc>
        <w:tc>
          <w:tcPr>
            <w:tcW w:w="1400" w:type="dxa"/>
            <w:tcMar>
              <w:top w:w="60" w:type="dxa"/>
              <w:left w:w="90" w:type="dxa"/>
              <w:bottom w:w="60" w:type="dxa"/>
              <w:right w:w="90" w:type="dxa"/>
            </w:tcMar>
          </w:tcPr>
          <w:p w14:paraId="5ECEB7F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as_nondetect</w:t>
            </w:r>
          </w:p>
        </w:tc>
        <w:tc>
          <w:tcPr>
            <w:tcW w:w="5060" w:type="dxa"/>
            <w:tcMar>
              <w:top w:w="60" w:type="dxa"/>
              <w:left w:w="90" w:type="dxa"/>
              <w:bottom w:w="60" w:type="dxa"/>
              <w:right w:w="90" w:type="dxa"/>
            </w:tcMar>
          </w:tcPr>
          <w:p w14:paraId="5ECEB7F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Rule (vi). A concentration of 0 is resolved under rule (i). Alternatives are retain (keep 0 as a measured value) and exclude</w:t>
            </w:r>
          </w:p>
        </w:tc>
      </w:tr>
      <w:tr w:rsidR="00D765A1" w14:paraId="1450C143" w14:textId="77777777">
        <w:tc>
          <w:tcPr>
            <w:tcW w:w="3421" w:type="dxa"/>
          </w:tcPr>
          <w:p w14:paraId="2466794B" w14:textId="77777777" w:rsidR="00D765A1" w:rsidRDefault="004E4AD9">
            <w:r>
              <w:t>AGG_CONC_RULE</w:t>
            </w:r>
          </w:p>
        </w:tc>
        <w:tc>
          <w:tcPr>
            <w:tcW w:w="1433" w:type="dxa"/>
          </w:tcPr>
          <w:p w14:paraId="0A47EFEA" w14:textId="77777777" w:rsidR="00D765A1" w:rsidRDefault="004E4AD9">
            <w:r>
              <w:t>detect_median_keepND</w:t>
            </w:r>
          </w:p>
        </w:tc>
        <w:tc>
          <w:tcPr>
            <w:tcW w:w="4506" w:type="dxa"/>
          </w:tcPr>
          <w:p w14:paraId="04CBAA4B" w14:textId="77777777" w:rsidR="00D765A1" w:rsidRDefault="004E4AD9">
            <w:r>
              <w:t>Compound-weighted reduction: compound → median of its detected values; all-non-detect compounds RETAINED as left-censored (never deleted); across-compound summary by KM.</w:t>
            </w:r>
          </w:p>
        </w:tc>
      </w:tr>
    </w:tbl>
    <w:p w14:paraId="3176E0FF" w14:textId="77777777" w:rsidR="007329FD" w:rsidRDefault="007329FD" w:rsidP="007329FD">
      <w:pPr>
        <w:spacing w:after="140" w:line="360" w:lineRule="auto"/>
        <w:jc w:val="both"/>
        <w:rPr>
          <w:rFonts w:ascii="Times New Roman" w:hAnsi="Times New Roman" w:cs="Times New Roman"/>
          <w:b/>
          <w:bCs/>
          <w:color w:val="2E5496"/>
          <w:sz w:val="24"/>
          <w:szCs w:val="24"/>
        </w:rPr>
      </w:pPr>
    </w:p>
    <w:p w14:paraId="5ECEB7FA" w14:textId="4D89906F"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S4b.4 The audit and the redirect</w:t>
      </w:r>
    </w:p>
    <w:p w14:paraId="5ECEB7FB" w14:textId="049ABD64" w:rsidR="003736AD" w:rsidRPr="007329FD" w:rsidRDefault="00B67498"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Table_SM_2.4</w:t>
      </w:r>
      <w:r>
        <w:rPr>
          <w:rFonts w:ascii="Times New Roman" w:hAnsi="Times New Roman" w:cs="Times New Roman"/>
          <w:sz w:val="24"/>
          <w:szCs w:val="24"/>
        </w:rPr>
        <w:t>,</w:t>
      </w:r>
      <w:r w:rsidRPr="007329FD">
        <w:rPr>
          <w:rFonts w:ascii="Times New Roman" w:hAnsi="Times New Roman" w:cs="Times New Roman"/>
          <w:sz w:val="24"/>
          <w:szCs w:val="24"/>
        </w:rPr>
        <w:t xml:space="preserve"> </w:t>
      </w:r>
      <w:r w:rsidR="00DC2353" w:rsidRPr="007329FD">
        <w:rPr>
          <w:rFonts w:ascii="Times New Roman" w:hAnsi="Times New Roman" w:cs="Times New Roman"/>
          <w:sz w:val="24"/>
          <w:szCs w:val="24"/>
        </w:rPr>
        <w:t>Table_SM_2.5</w:t>
      </w:r>
      <w:r>
        <w:rPr>
          <w:rFonts w:ascii="Times New Roman" w:hAnsi="Times New Roman" w:cs="Times New Roman"/>
          <w:sz w:val="24"/>
          <w:szCs w:val="24"/>
        </w:rPr>
        <w:t>,</w:t>
      </w:r>
      <w:r w:rsidR="00DC2353" w:rsidRPr="007329FD">
        <w:rPr>
          <w:rFonts w:ascii="Times New Roman" w:hAnsi="Times New Roman" w:cs="Times New Roman"/>
          <w:sz w:val="24"/>
          <w:szCs w:val="24"/>
        </w:rPr>
        <w:t xml:space="preserve"> Table_SM_2.6 </w:t>
      </w:r>
      <w:r>
        <w:rPr>
          <w:rFonts w:ascii="Times New Roman" w:hAnsi="Times New Roman" w:cs="Times New Roman"/>
          <w:sz w:val="24"/>
          <w:szCs w:val="24"/>
        </w:rPr>
        <w:t xml:space="preserve">and </w:t>
      </w:r>
      <w:r w:rsidRPr="007329FD">
        <w:rPr>
          <w:rFonts w:ascii="Times New Roman" w:hAnsi="Times New Roman" w:cs="Times New Roman"/>
          <w:sz w:val="24"/>
          <w:szCs w:val="24"/>
        </w:rPr>
        <w:t>Table_SM_2.7</w:t>
      </w:r>
      <w:r>
        <w:rPr>
          <w:rFonts w:ascii="Times New Roman" w:hAnsi="Times New Roman" w:cs="Times New Roman"/>
          <w:sz w:val="24"/>
          <w:szCs w:val="24"/>
        </w:rPr>
        <w:t xml:space="preserve"> </w:t>
      </w:r>
      <w:r w:rsidR="00DC2353" w:rsidRPr="007329FD">
        <w:rPr>
          <w:rFonts w:ascii="Times New Roman" w:hAnsi="Times New Roman" w:cs="Times New Roman"/>
          <w:sz w:val="24"/>
          <w:szCs w:val="24"/>
        </w:rPr>
        <w:t xml:space="preserve">are written as standalone workbooks under their own names. Each carries three further sheets: a README stating how it was built, a cell-level harmonisation audit recording for every non-empty raw cell the source row, compound, reference, variable, the entry as written, the rule applied, the value produced and whether it was retained or excluded, and a parameter sheet holding the settings above. The </w:t>
      </w:r>
      <w:r w:rsidR="00DC2353" w:rsidRPr="007329FD">
        <w:rPr>
          <w:rFonts w:ascii="Times New Roman" w:hAnsi="Times New Roman" w:cs="Times New Roman"/>
          <w:sz w:val="24"/>
          <w:szCs w:val="24"/>
        </w:rPr>
        <w:lastRenderedPageBreak/>
        <w:t>audit travels with the table it belongs to, so the provenance of any single harmonised value can be checked without opening a second file.</w:t>
      </w:r>
    </w:p>
    <w:p w14:paraId="5ECEB7FC"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module then writes SM_2_generated.xlsx, a working copy of the input workbook with the two derived tables inserted and every other sheet carried through unchanged, and re-points the input path at that file. Every subsequent read therefore resolves to generated tables. Because the raw sheets inside the generated workbook are verbatim copies, the censoring assessment and census of Section S5 are computed on exactly the same input as before.</w:t>
      </w:r>
    </w:p>
    <w:p w14:paraId="5ECEB7FD"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section ends with a pre-condition gate. Both derived tables must be present in the generated workbook and must read back with at least one row, or the script stops. A missing harmonised table is thereby reported at the point of failure rather than surfacing hundreds of lines later as an absent object in a downstream module.</w:t>
      </w:r>
    </w:p>
    <w:p w14:paraId="0341D0AE" w14:textId="77777777" w:rsidR="007329FD" w:rsidRPr="007329FD" w:rsidRDefault="007329FD" w:rsidP="007329FD">
      <w:pPr>
        <w:spacing w:after="140" w:line="360" w:lineRule="auto"/>
        <w:jc w:val="both"/>
        <w:rPr>
          <w:rFonts w:ascii="Times New Roman" w:hAnsi="Times New Roman" w:cs="Times New Roman"/>
          <w:sz w:val="24"/>
          <w:szCs w:val="24"/>
        </w:rPr>
      </w:pPr>
    </w:p>
    <w:p w14:paraId="5ECEB7FE"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S5. Module A — censoring assessment and dataset census</w:t>
      </w:r>
    </w:p>
    <w:p w14:paraId="5ECEB7FF"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Working from the raw sheets, the pipeline classifies every cell of every analysis variable into exactly one category — left-censored, right-censored, range/detection, approximate, plain value, or excluded — by applying the rules of Table S.2. The classifier protects scientific-notation exponents before testing for a range separator, so that 2.5×10⁻³ is read as one number and not as a range.</w:t>
      </w:r>
    </w:p>
    <w:p w14:paraId="5ECEB800"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left-censoring rate of a variable is the number of left-censored entries divided by all entries that enter the analysis. Rates are reported per variable, per group and overall. The census extends the same classification to a full count of cells, populated entries and their split across the six categories, per parameter, per group and overall, and reports a column-completeness audit confirming that every analysed variable was located and populated as expected.</w:t>
      </w:r>
    </w:p>
    <w:p w14:paraId="5ECEB801" w14:textId="4ECEC838" w:rsidR="003736AD" w:rsidRDefault="00020610" w:rsidP="007329FD">
      <w:pPr>
        <w:spacing w:after="140" w:line="360" w:lineRule="auto"/>
        <w:jc w:val="both"/>
        <w:rPr>
          <w:rFonts w:ascii="Times New Roman" w:hAnsi="Times New Roman" w:cs="Times New Roman"/>
          <w:sz w:val="24"/>
          <w:szCs w:val="24"/>
        </w:rPr>
      </w:pPr>
      <w:r>
        <w:rPr>
          <w:rFonts w:ascii="Times New Roman" w:hAnsi="Times New Roman" w:cs="Times New Roman"/>
          <w:sz w:val="24"/>
          <w:szCs w:val="24"/>
        </w:rPr>
        <w:t>The census and the constructor share one parser, so a cell classified as left-censored in Table_SM_2.4 is necessarily the cell excluded from the single-value Table_SM_2.6 and passed to the censored estimator under rule (i).</w:t>
      </w:r>
    </w:p>
    <w:p w14:paraId="5911211E" w14:textId="77777777" w:rsidR="00020610" w:rsidRPr="007329FD" w:rsidRDefault="00020610" w:rsidP="007329FD">
      <w:pPr>
        <w:spacing w:after="140" w:line="360" w:lineRule="auto"/>
        <w:jc w:val="both"/>
        <w:rPr>
          <w:rFonts w:ascii="Times New Roman" w:hAnsi="Times New Roman" w:cs="Times New Roman"/>
          <w:sz w:val="24"/>
          <w:szCs w:val="24"/>
        </w:rPr>
      </w:pPr>
    </w:p>
    <w:p w14:paraId="5ECEB802"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S5.1 Fifteen censoring variables and sixteen analysis variables</w:t>
      </w:r>
    </w:p>
    <w:p w14:paraId="5ECEB803" w14:textId="6548E5BF"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censoring assessment and the census are computed over fifteen variables: five physicochemical (pK</w:t>
      </w:r>
      <w:r w:rsidRPr="00020610">
        <w:rPr>
          <w:rFonts w:ascii="Times New Roman" w:hAnsi="Times New Roman" w:cs="Times New Roman"/>
          <w:sz w:val="24"/>
          <w:szCs w:val="24"/>
          <w:vertAlign w:val="subscript"/>
        </w:rPr>
        <w:t>a</w:t>
      </w:r>
      <w:r w:rsidRPr="007329FD">
        <w:rPr>
          <w:rFonts w:ascii="Times New Roman" w:hAnsi="Times New Roman" w:cs="Times New Roman"/>
          <w:sz w:val="24"/>
          <w:szCs w:val="24"/>
        </w:rPr>
        <w:t>, log K</w:t>
      </w:r>
      <w:r w:rsidRPr="00020610">
        <w:rPr>
          <w:rFonts w:ascii="Times New Roman" w:hAnsi="Times New Roman" w:cs="Times New Roman"/>
          <w:sz w:val="24"/>
          <w:szCs w:val="24"/>
          <w:vertAlign w:val="subscript"/>
        </w:rPr>
        <w:t>OW</w:t>
      </w:r>
      <w:r w:rsidRPr="007329FD">
        <w:rPr>
          <w:rFonts w:ascii="Times New Roman" w:hAnsi="Times New Roman" w:cs="Times New Roman"/>
          <w:sz w:val="24"/>
          <w:szCs w:val="24"/>
        </w:rPr>
        <w:t>, log K</w:t>
      </w:r>
      <w:r w:rsidRPr="00020610">
        <w:rPr>
          <w:rFonts w:ascii="Times New Roman" w:hAnsi="Times New Roman" w:cs="Times New Roman"/>
          <w:sz w:val="24"/>
          <w:szCs w:val="24"/>
          <w:vertAlign w:val="subscript"/>
        </w:rPr>
        <w:t>OC</w:t>
      </w:r>
      <w:r w:rsidRPr="007329FD">
        <w:rPr>
          <w:rFonts w:ascii="Times New Roman" w:hAnsi="Times New Roman" w:cs="Times New Roman"/>
          <w:sz w:val="24"/>
          <w:szCs w:val="24"/>
        </w:rPr>
        <w:t>, log D</w:t>
      </w:r>
      <w:r w:rsidRPr="00020610">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log </w:t>
      </w:r>
      <w:r w:rsidRPr="00020610">
        <w:rPr>
          <w:rFonts w:ascii="Times New Roman" w:hAnsi="Times New Roman" w:cs="Times New Roman"/>
          <w:sz w:val="24"/>
          <w:szCs w:val="24"/>
        </w:rPr>
        <w:t>S</w:t>
      </w:r>
      <w:r w:rsidRPr="007329FD">
        <w:rPr>
          <w:rFonts w:ascii="Times New Roman" w:hAnsi="Times New Roman" w:cs="Times New Roman"/>
          <w:sz w:val="24"/>
          <w:szCs w:val="24"/>
        </w:rPr>
        <w:t xml:space="preserve">) and ten environmental-fate (four </w:t>
      </w:r>
      <w:r w:rsidRPr="007329FD">
        <w:rPr>
          <w:rFonts w:ascii="Times New Roman" w:hAnsi="Times New Roman" w:cs="Times New Roman"/>
          <w:sz w:val="24"/>
          <w:szCs w:val="24"/>
        </w:rPr>
        <w:lastRenderedPageBreak/>
        <w:t>concentrations and six half-lives</w:t>
      </w:r>
      <w:r w:rsidR="00020610">
        <w:rPr>
          <w:rFonts w:ascii="Times New Roman" w:hAnsi="Times New Roman" w:cs="Times New Roman"/>
          <w:sz w:val="24"/>
          <w:szCs w:val="24"/>
        </w:rPr>
        <w:t>, t</w:t>
      </w:r>
      <w:r w:rsidR="00020610" w:rsidRPr="00020610">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Molecular weight </w:t>
      </w:r>
      <w:r w:rsidR="001017EA">
        <w:rPr>
          <w:rFonts w:ascii="Times New Roman" w:hAnsi="Times New Roman" w:cs="Times New Roman"/>
          <w:sz w:val="24"/>
          <w:szCs w:val="24"/>
        </w:rPr>
        <w:t xml:space="preserve">(MW) </w:t>
      </w:r>
      <w:r w:rsidRPr="007329FD">
        <w:rPr>
          <w:rFonts w:ascii="Times New Roman" w:hAnsi="Times New Roman" w:cs="Times New Roman"/>
          <w:sz w:val="24"/>
          <w:szCs w:val="24"/>
        </w:rPr>
        <w:t>is excluded from the census by design: it is a single compound-intrinsic look-up value, repeated down each compound block, which is never reported below a detection limit, so it carries no censoring information and would only inflate the denominator. MW nevertheless remains one of the sixteen analysis variables and is summarised, plotted and regressed in every downstream module.</w:t>
      </w:r>
    </w:p>
    <w:p w14:paraId="5ECEB804"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two counts should be quoted with their scope attached. Statements about the censoring assessment or the census refer to fifteen variables; statements about the analysed descriptor set refer to sixteen. Identifiers, the canonical-SMILES string and the reference tag are not analysis variables and are counted in neither.</w:t>
      </w:r>
    </w:p>
    <w:p w14:paraId="56D8DD2B" w14:textId="77777777" w:rsidR="001017EA" w:rsidRPr="007329FD" w:rsidRDefault="001017EA" w:rsidP="007329FD">
      <w:pPr>
        <w:spacing w:after="140" w:line="360" w:lineRule="auto"/>
        <w:jc w:val="both"/>
        <w:rPr>
          <w:rFonts w:ascii="Times New Roman" w:hAnsi="Times New Roman" w:cs="Times New Roman"/>
          <w:sz w:val="24"/>
          <w:szCs w:val="24"/>
        </w:rPr>
      </w:pPr>
    </w:p>
    <w:p w14:paraId="5ECEB805"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S6. Zero-value policy</w:t>
      </w:r>
    </w:p>
    <w:p w14:paraId="64F24F88" w14:textId="468CEABC" w:rsidR="00AD360E"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Zeros are resolved inside the constructor rather than in a later filter, so all downstream modules receive data to which the policy has already been applied uniformly. </w:t>
      </w:r>
      <w:r w:rsidR="00164774">
        <w:rPr>
          <w:rFonts w:ascii="Times New Roman" w:hAnsi="Times New Roman" w:cs="Times New Roman"/>
          <w:sz w:val="24"/>
          <w:szCs w:val="24"/>
        </w:rPr>
        <w:t>The t</w:t>
      </w:r>
      <w:r w:rsidR="00164774" w:rsidRPr="00164774">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as exactly 0 d </w:t>
      </w:r>
      <w:r w:rsidR="008348B3" w:rsidRPr="007329FD">
        <w:rPr>
          <w:rFonts w:ascii="Times New Roman" w:hAnsi="Times New Roman" w:cs="Times New Roman"/>
          <w:sz w:val="24"/>
          <w:szCs w:val="24"/>
        </w:rPr>
        <w:t>were not reported in the raw data</w:t>
      </w:r>
      <w:r w:rsidRPr="007329FD">
        <w:rPr>
          <w:rFonts w:ascii="Times New Roman" w:hAnsi="Times New Roman" w:cs="Times New Roman"/>
          <w:sz w:val="24"/>
          <w:szCs w:val="24"/>
        </w:rPr>
        <w:t xml:space="preserve"> as physically implausible</w:t>
      </w:r>
      <w:r w:rsidR="00AD360E" w:rsidRPr="007329FD">
        <w:rPr>
          <w:rFonts w:ascii="Times New Roman" w:hAnsi="Times New Roman" w:cs="Times New Roman"/>
          <w:sz w:val="24"/>
          <w:szCs w:val="24"/>
        </w:rPr>
        <w:t>.</w:t>
      </w:r>
    </w:p>
    <w:p w14:paraId="5ECEB806" w14:textId="42F24FF5"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Concentrations reported as 0 are treated as non-detects and resolved under rule (i): excluded from the single-value point table and entered into the censored estimator at the lowest detected value of the variable, on the reasoning that a reported zero and a reported n.d. convey the same analytical information; the treatment applies equally to a standalone zero and to a zero forming the lower bound of a range. Physicochemical properties, for which 0 is a meaningful value — a logarithm equal to 0 is a ratio of 1 — are never altered.</w:t>
      </w:r>
    </w:p>
    <w:p w14:paraId="5ECEB807" w14:textId="2BB6D868"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The number of records the policy removes is recorded in the harmonisation_audit sheet of the derived tables and reported in the run integrity census (Section S15), so the figure quoted in the manuscript is confirmed by the run rather than asserted. In the delivered dataset six </w:t>
      </w:r>
      <w:r w:rsidR="00164774">
        <w:rPr>
          <w:rFonts w:ascii="Times New Roman" w:hAnsi="Times New Roman" w:cs="Times New Roman"/>
          <w:sz w:val="24"/>
          <w:szCs w:val="24"/>
        </w:rPr>
        <w:t>t</w:t>
      </w:r>
      <w:r w:rsidR="00164774" w:rsidRPr="00164774">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records are affected: two hyporheic-zone entries for gabapentin and one for metoprolol, one aerobic and one anoxic entry for carbamazepine, and one anoxic entry for gabapentin.</w:t>
      </w:r>
    </w:p>
    <w:p w14:paraId="5ECEB808"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S7. Below-limit substitution sensitivity analysis</w:t>
      </w:r>
    </w:p>
    <w:p w14:paraId="5ECEB809"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Because several fate sub-datasets are appreciably left-censored — in particular sediment, the hyporheic zone and groundwater, which exceed the 15% level above which simple substitution becomes unreliable (Helsel, 2006, 2012) — the four concentration variables are summarised with censored-data estimators (Section S8), and the older substitution convention is quantified </w:t>
      </w:r>
      <w:r w:rsidRPr="007329FD">
        <w:rPr>
          <w:rFonts w:ascii="Times New Roman" w:hAnsi="Times New Roman" w:cs="Times New Roman"/>
          <w:sz w:val="24"/>
          <w:szCs w:val="24"/>
        </w:rPr>
        <w:lastRenderedPageBreak/>
        <w:t>only as a cross-check for every censored fate variable. Each raw cell is parsed into a detected value or a censored entry, and the percentiles (P25, median, P75, P95; type-7) are recomputed under the treatments of Table S.3.</w:t>
      </w:r>
    </w:p>
    <w:p w14:paraId="5ECEB80A" w14:textId="653A5416"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This module is built from the raw table by the same code path. The substitution scenarios bound the older convention using a per-variable lowest-detected proxy and are reported as cross-checks only; the concentration statistics of record are the censored estimates of Section S8.</w:t>
      </w:r>
    </w:p>
    <w:p w14:paraId="120F573B" w14:textId="77777777" w:rsidR="000E1273" w:rsidRPr="007329FD" w:rsidRDefault="000E1273" w:rsidP="007329FD">
      <w:pPr>
        <w:spacing w:after="140" w:line="360" w:lineRule="auto"/>
        <w:jc w:val="both"/>
        <w:rPr>
          <w:rFonts w:ascii="Times New Roman" w:hAnsi="Times New Roman" w:cs="Times New Roman"/>
          <w:sz w:val="24"/>
          <w:szCs w:val="24"/>
        </w:rPr>
      </w:pPr>
    </w:p>
    <w:p w14:paraId="5ECEB80B"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S.3. Below-limit treatments compared in the sensitivity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900"/>
        <w:gridCol w:w="1860"/>
      </w:tblGrid>
      <w:tr w:rsidR="003736AD" w:rsidRPr="007329FD" w14:paraId="5ECEB80F" w14:textId="77777777">
        <w:trPr>
          <w:tblHeader/>
        </w:trPr>
        <w:tc>
          <w:tcPr>
            <w:tcW w:w="2600" w:type="dxa"/>
            <w:shd w:val="clear" w:color="auto" w:fill="DCE6F1"/>
            <w:tcMar>
              <w:top w:w="60" w:type="dxa"/>
              <w:left w:w="90" w:type="dxa"/>
              <w:bottom w:w="60" w:type="dxa"/>
              <w:right w:w="90" w:type="dxa"/>
            </w:tcMar>
          </w:tcPr>
          <w:p w14:paraId="5ECEB80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Scenario</w:t>
            </w:r>
          </w:p>
        </w:tc>
        <w:tc>
          <w:tcPr>
            <w:tcW w:w="4900" w:type="dxa"/>
            <w:shd w:val="clear" w:color="auto" w:fill="DCE6F1"/>
            <w:tcMar>
              <w:top w:w="60" w:type="dxa"/>
              <w:left w:w="90" w:type="dxa"/>
              <w:bottom w:w="60" w:type="dxa"/>
              <w:right w:w="90" w:type="dxa"/>
            </w:tcMar>
          </w:tcPr>
          <w:p w14:paraId="5ECEB80D"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Treatment of below-limit data</w:t>
            </w:r>
          </w:p>
        </w:tc>
        <w:tc>
          <w:tcPr>
            <w:tcW w:w="1860" w:type="dxa"/>
            <w:shd w:val="clear" w:color="auto" w:fill="DCE6F1"/>
            <w:tcMar>
              <w:top w:w="60" w:type="dxa"/>
              <w:left w:w="90" w:type="dxa"/>
              <w:bottom w:w="60" w:type="dxa"/>
              <w:right w:w="90" w:type="dxa"/>
            </w:tcMar>
          </w:tcPr>
          <w:p w14:paraId="5ECEB80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Status</w:t>
            </w:r>
          </w:p>
        </w:tc>
      </w:tr>
      <w:tr w:rsidR="003736AD" w:rsidRPr="007329FD" w14:paraId="5ECEB813" w14:textId="77777777">
        <w:tc>
          <w:tcPr>
            <w:tcW w:w="2600" w:type="dxa"/>
            <w:tcMar>
              <w:top w:w="60" w:type="dxa"/>
              <w:left w:w="90" w:type="dxa"/>
              <w:bottom w:w="60" w:type="dxa"/>
              <w:right w:w="90" w:type="dxa"/>
            </w:tcMar>
          </w:tcPr>
          <w:p w14:paraId="5ECEB81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Censored estimator (Kaplan–Meier)</w:t>
            </w:r>
          </w:p>
        </w:tc>
        <w:tc>
          <w:tcPr>
            <w:tcW w:w="4900" w:type="dxa"/>
            <w:tcMar>
              <w:top w:w="60" w:type="dxa"/>
              <w:left w:w="90" w:type="dxa"/>
              <w:bottom w:w="60" w:type="dxa"/>
              <w:right w:w="90" w:type="dxa"/>
            </w:tcMar>
          </w:tcPr>
          <w:p w14:paraId="5ECEB81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Kaplan–Meier (left-censored NPMLE) as the primary estimate, with censored-floor ranges as detections at their midpoint; a Turnbull interval-censored estimate is reported as a conservative lower-bound sensitivity. No substitution. This is the concentration statistic OF RECORD (the Conc_* sheets of SM_4_fate.xlsx).</w:t>
            </w:r>
          </w:p>
        </w:tc>
        <w:tc>
          <w:tcPr>
            <w:tcW w:w="1860" w:type="dxa"/>
            <w:tcMar>
              <w:top w:w="60" w:type="dxa"/>
              <w:left w:w="90" w:type="dxa"/>
              <w:bottom w:w="60" w:type="dxa"/>
              <w:right w:w="90" w:type="dxa"/>
            </w:tcMar>
          </w:tcPr>
          <w:p w14:paraId="5ECEB81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Reported</w:t>
            </w:r>
          </w:p>
        </w:tc>
      </w:tr>
      <w:tr w:rsidR="003736AD" w:rsidRPr="007329FD" w14:paraId="5ECEB817" w14:textId="77777777">
        <w:tc>
          <w:tcPr>
            <w:tcW w:w="2600" w:type="dxa"/>
            <w:tcMar>
              <w:top w:w="60" w:type="dxa"/>
              <w:left w:w="90" w:type="dxa"/>
              <w:bottom w:w="60" w:type="dxa"/>
              <w:right w:w="90" w:type="dxa"/>
            </w:tcMar>
          </w:tcPr>
          <w:p w14:paraId="5ECEB81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DL/2 substitution</w:t>
            </w:r>
          </w:p>
        </w:tc>
        <w:tc>
          <w:tcPr>
            <w:tcW w:w="4900" w:type="dxa"/>
            <w:tcMar>
              <w:top w:w="60" w:type="dxa"/>
              <w:left w:w="90" w:type="dxa"/>
              <w:bottom w:w="60" w:type="dxa"/>
              <w:right w:w="90" w:type="dxa"/>
            </w:tcMar>
          </w:tcPr>
          <w:p w14:paraId="5ECEB81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Stated limit halved; a no-limit non-detect takes the lowest detected value of its variable (data-derived, not a fixed constant). Screening cross-check only.</w:t>
            </w:r>
          </w:p>
        </w:tc>
        <w:tc>
          <w:tcPr>
            <w:tcW w:w="1860" w:type="dxa"/>
            <w:tcMar>
              <w:top w:w="60" w:type="dxa"/>
              <w:left w:w="90" w:type="dxa"/>
              <w:bottom w:w="60" w:type="dxa"/>
              <w:right w:w="90" w:type="dxa"/>
            </w:tcMar>
          </w:tcPr>
          <w:p w14:paraId="5ECEB81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Cross-check</w:t>
            </w:r>
          </w:p>
        </w:tc>
      </w:tr>
      <w:tr w:rsidR="003736AD" w:rsidRPr="007329FD" w14:paraId="5ECEB81B" w14:textId="77777777">
        <w:tc>
          <w:tcPr>
            <w:tcW w:w="2600" w:type="dxa"/>
            <w:tcMar>
              <w:top w:w="60" w:type="dxa"/>
              <w:left w:w="90" w:type="dxa"/>
              <w:bottom w:w="60" w:type="dxa"/>
              <w:right w:w="90" w:type="dxa"/>
            </w:tcMar>
          </w:tcPr>
          <w:p w14:paraId="5ECEB81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Full-DL / exclusion</w:t>
            </w:r>
          </w:p>
        </w:tc>
        <w:tc>
          <w:tcPr>
            <w:tcW w:w="4900" w:type="dxa"/>
            <w:tcMar>
              <w:top w:w="60" w:type="dxa"/>
              <w:left w:w="90" w:type="dxa"/>
              <w:bottom w:w="60" w:type="dxa"/>
              <w:right w:w="90" w:type="dxa"/>
            </w:tcMar>
          </w:tcPr>
          <w:p w14:paraId="5ECEB819"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Full-limit substitution and detected-only exclusion, bounding the substitution envelope. Cross-checks only; detected-only deletion is biased upward and is not used for any reported statistic.</w:t>
            </w:r>
          </w:p>
        </w:tc>
        <w:tc>
          <w:tcPr>
            <w:tcW w:w="1860" w:type="dxa"/>
            <w:tcMar>
              <w:top w:w="60" w:type="dxa"/>
              <w:left w:w="90" w:type="dxa"/>
              <w:bottom w:w="60" w:type="dxa"/>
              <w:right w:w="90" w:type="dxa"/>
            </w:tcMar>
          </w:tcPr>
          <w:p w14:paraId="5ECEB81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Cross-check</w:t>
            </w:r>
          </w:p>
        </w:tc>
      </w:tr>
    </w:tbl>
    <w:p w14:paraId="0F326868" w14:textId="77777777" w:rsidR="000E1273" w:rsidRDefault="000E1273" w:rsidP="007329FD">
      <w:pPr>
        <w:spacing w:after="140" w:line="360" w:lineRule="auto"/>
        <w:jc w:val="both"/>
        <w:rPr>
          <w:rFonts w:ascii="Times New Roman" w:hAnsi="Times New Roman" w:cs="Times New Roman"/>
          <w:sz w:val="24"/>
          <w:szCs w:val="24"/>
        </w:rPr>
      </w:pPr>
    </w:p>
    <w:p w14:paraId="5ECEB81C" w14:textId="719228C1"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The reported concentration statistics are the censored estimates (Section S8; Kaplan–Meier primary, with censored-floor ranges as detections at their midpoint; a Turnbull interval-censored estimate as a conservative lower-bound sensitivity and DL/2 as a screening cross-check). The substitution scenarios here bound the older convention and are read against the censored estimate: a small difference indicates a robust estimate, a large difference a summary </w:t>
      </w:r>
      <w:r w:rsidRPr="007329FD">
        <w:rPr>
          <w:rFonts w:ascii="Times New Roman" w:hAnsi="Times New Roman" w:cs="Times New Roman"/>
          <w:sz w:val="24"/>
          <w:szCs w:val="24"/>
        </w:rPr>
        <w:lastRenderedPageBreak/>
        <w:t>governed by the non-detect treatment, which is then reported descriptively rather than as a point estimate. A variable whose scenarios are identical has no censored entries, a built-in confirmation. Properties are excluded from this module by design: they are not detection-limited, their values can be negative, which invalidates the range parser, and their raw left-censoring is negligible.</w:t>
      </w:r>
    </w:p>
    <w:p w14:paraId="77F18604" w14:textId="77777777" w:rsidR="00520B76" w:rsidRPr="007329FD" w:rsidRDefault="00520B76" w:rsidP="007329FD">
      <w:pPr>
        <w:spacing w:after="140" w:line="360" w:lineRule="auto"/>
        <w:jc w:val="both"/>
        <w:rPr>
          <w:rFonts w:ascii="Times New Roman" w:hAnsi="Times New Roman" w:cs="Times New Roman"/>
          <w:sz w:val="24"/>
          <w:szCs w:val="24"/>
        </w:rPr>
      </w:pPr>
    </w:p>
    <w:p w14:paraId="5ECEB81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S8. Descriptive statistics: two weighting schemes</w:t>
      </w:r>
    </w:p>
    <w:p w14:paraId="5ECEB81E"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For each variable the pipeline computes the mean, standard deviation, median and the 25th, 75th and 95th percentiles (type-7 quantiles), implemented to be robust to missing and non-finite values: an empty group returns a missing value and never a spreadsheet error, and a group with a single observation returns identical median and percentiles. Therapeutic-class labels are forced to one canonical spelling before grouping, so that class-level statistics, figures and screening tables cannot diverge through a label variant. The four concentration variables (C_SW, C_HZ, C_SED, C_GW) are the exception: they are summarised with censored-data estimators rather than this engine. The Kaplan–Meier estimator (left-censored nonparametric MLE via survival::survfit), with censored-floor ranges treated as detections at their midpoint, is the primary estimate; a Turnbull interval-censored estimate (the same ranges entered as intervals) is reported as a conservative lower-bound sensitivity, and DL/2 substitution — with robust ROS (NADA::ros) where that package is available — as further cross-checks, with the mean from EnvStats::enparCensored where available. Non-detects without a reported limit take the lowest detected value of their variable as the censoring limit. Class-level and compound-level statistics are estimated only where the group has at least three detections and at least five records; sparser groups are reported by detection frequency. In the compound-weighted (AGG) scheme each compound is reduced to the median of its detected values and all-non-detect compounds are retained as left-censored rather than deleted, so non-detects are never discarded. These estimates are written into SM_4_fate.xlsx as the Conc_* sheets (Conc_Estimates for the overall record-weighted and compound-weighted statistics, Conc_By_class, Conc_By_compound, Conc_Detection for detection frequencies, and Conc_Notes) and are the concentration statistics of record. The point-table concentration descriptive statistics are not produced, because they exclude the censored-floor ranges and are upward-biased; SM_4_fate therefore holds the valid half-life descriptive statistics </w:t>
      </w:r>
      <w:r w:rsidRPr="007329FD">
        <w:rPr>
          <w:rFonts w:ascii="Times New Roman" w:hAnsi="Times New Roman" w:cs="Times New Roman"/>
          <w:sz w:val="24"/>
          <w:szCs w:val="24"/>
        </w:rPr>
        <w:lastRenderedPageBreak/>
        <w:t>(Harmonized_*/AGG_* sheets) alongside the censored concentration sheets. SM_3 and the half-life statistics are produced by the engine described here.</w:t>
      </w:r>
    </w:p>
    <w:p w14:paraId="5ECEB81F"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harmonised scheme (HAR) treats every compiled record as one observation and therefore reflects reporting effort; the compound-weighted scheme (AGG) reduces each compound to its median before aggregation and therefore reflects the chemical space. The two are reported side by side throughout, because they estimate different quantities: HAR approximates exposure as encountered in the literature, AGG approximates hazard ranking across compounds.</w:t>
      </w:r>
    </w:p>
    <w:p w14:paraId="6E375E60" w14:textId="77777777" w:rsidR="00C733D5" w:rsidRPr="007329FD" w:rsidRDefault="00C733D5" w:rsidP="007329FD">
      <w:pPr>
        <w:spacing w:after="140" w:line="360" w:lineRule="auto"/>
        <w:jc w:val="both"/>
        <w:rPr>
          <w:rFonts w:ascii="Times New Roman" w:hAnsi="Times New Roman" w:cs="Times New Roman"/>
          <w:sz w:val="24"/>
          <w:szCs w:val="24"/>
        </w:rPr>
      </w:pPr>
    </w:p>
    <w:p w14:paraId="5ECEB820"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S9. Figures</w:t>
      </w:r>
    </w:p>
    <w:p w14:paraId="5ECEB821"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All boxplot figures are generated from the same harmonised objects that produce the tables, with the compound-weighted and record-weighted versions produced from one function so that they cannot diverge. A fixed seed is set for the label-repulsion layout of the synthesis figures so that repeated runs are pixel-identical; the seed is stated in the script.</w:t>
      </w:r>
    </w:p>
    <w:p w14:paraId="5ECEB822"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Axis scaling follows the spread of the variable rather than its category. In the overall and overview environmental-fate figures both concentrations and half-lives are plotted on a log₁₀ axis. Concentrations span roughly ten orders of magnitude and were already logarithmic; half-lives span more than four, from hours in the hyporheic zone to years in sediment, and on a linear axis every distribution below about 100 d collapses onto the origin while only the sediment tail remains legible. Plotting both on the same scale convention also makes the two panel groups of a fate figure directly comparable.</w:t>
      </w:r>
    </w:p>
    <w:p w14:paraId="5ECEB82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transformation is applied to the graphics only. The descriptive statistics of SM_3 and SM_4 are computed on untransformed values throughout, so a median or percentile read from a table is the quantity in its reported units and is not a back-transformed logarithm. Three figure categories are deliberately left on a linear axis: the physicochemical properties figures at all three levels, because their values are already logarithms or bounded quantities; the per-compound fate figures, where the within-compound range is narrow and a log axis would suppress the differences the figure exists to show; and the synthesis figures, whose scales are set by their own construction.</w:t>
      </w:r>
    </w:p>
    <w:p w14:paraId="403601D5"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S10. Compound-level property–persistence regressions</w:t>
      </w:r>
    </w:p>
    <w:p w14:paraId="5ECEB82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lastRenderedPageBreak/>
        <w:t>S10.1 Primary fit</w:t>
      </w:r>
    </w:p>
    <w:p w14:paraId="5ECEB826"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Thirty ordinary-least-squares models are fitted (six half-life responses × five molecular predictors) on compound medians, so that each compound is one observation and heavily studied compounds cannot dominate the fit. Sample size, slope, standard error, 95% confidence interval, coefficient of determination and p-value are reported for every model in Table_SM_2.8.</w:t>
      </w:r>
    </w:p>
    <w:p w14:paraId="5ECEB82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untransformed fits are reported as primary because their slopes are interpretable in days per predictor unit, but they are descriptive only: residuals are non-normal in the surface-water and sediment models, and the fitted lines return negative half-lives for predictor values at the lower end of the observed range. They must not be used for prediction.</w:t>
      </w:r>
    </w:p>
    <w:p w14:paraId="26282220"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S10.2 Diagnostics carried with every model</w:t>
      </w:r>
    </w:p>
    <w:p w14:paraId="5ECEB829"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model carries Spearman’s rank correlation, which is invariant to monotone transformation, and the Shapiro–Wilk p-value of its residuals. A Bonferroni column reports which pooled models survive α = 0.05/30 = 0.0017; the threshold is an interpretive guard, not a filter, and models significant only at the uncorrected α = 0.05 are labelled as such.</w:t>
      </w:r>
    </w:p>
    <w:p w14:paraId="7E108A0B"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A"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S10.3 Log-transformation sensitivity</w:t>
      </w:r>
    </w:p>
    <w:p w14:paraId="5ECEB82B"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All thirty models are refitted on log₁₀ of the response. Residual normality is restored in nine of the ten surface-water and sediment models but not in the anoxic models, four of which remain non-normal; the transformed fits, the rank correlations and the residual diagnostics for all thirty models are tabulated alongside the untransformed results.</w:t>
      </w:r>
    </w:p>
    <w:p w14:paraId="57A1ACA1" w14:textId="77777777" w:rsidR="002D6E52" w:rsidRPr="007329FD" w:rsidRDefault="002D6E52" w:rsidP="007329FD">
      <w:pPr>
        <w:spacing w:after="140" w:line="360" w:lineRule="auto"/>
        <w:jc w:val="both"/>
        <w:rPr>
          <w:rFonts w:ascii="Times New Roman" w:hAnsi="Times New Roman" w:cs="Times New Roman"/>
          <w:sz w:val="24"/>
          <w:szCs w:val="24"/>
        </w:rPr>
      </w:pPr>
    </w:p>
    <w:p w14:paraId="5ECEB82C"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S11. Persistence screening and its sensitivity modules</w:t>
      </w:r>
    </w:p>
    <w:p w14:paraId="5ECEB82D"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S11.1 Screening and EPI Suite estimate sensitivity</w:t>
      </w:r>
    </w:p>
    <w:p w14:paraId="5ECEB82E"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REACH Annex XIII P/vP criteria are applied to compound-level half-life medians, first on the pooled data and then after removing all database-derived (EPI Suite) estimates, so that the dependence of every flag on modelled input is explicit.</w:t>
      </w:r>
    </w:p>
    <w:p w14:paraId="73FD55C3" w14:textId="77777777" w:rsidR="002D6E52" w:rsidRPr="007329FD" w:rsidRDefault="002D6E52" w:rsidP="007329FD">
      <w:pPr>
        <w:spacing w:after="140" w:line="360" w:lineRule="auto"/>
        <w:jc w:val="both"/>
        <w:rPr>
          <w:rFonts w:ascii="Times New Roman" w:hAnsi="Times New Roman" w:cs="Times New Roman"/>
          <w:sz w:val="24"/>
          <w:szCs w:val="24"/>
        </w:rPr>
      </w:pPr>
    </w:p>
    <w:p w14:paraId="5ECEB82F"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S11.2 Study-level aggregation sensitivity</w:t>
      </w:r>
    </w:p>
    <w:p w14:paraId="5ECEB83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Records are reduced to one value per study before the compound median is taken, so that a compound whose flag rests on repeated measurements from a single study is distinguished from one supported by independent studies. The number of records and the number of independent studies behind every flag are reported.</w:t>
      </w:r>
    </w:p>
    <w:p w14:paraId="26EA5762"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1"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S11.3 Measured-only regressions</w:t>
      </w:r>
    </w:p>
    <w:p w14:paraId="5ECEB832"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thirty models are refitted on measured data alone, so that the contribution of estimated half-lives to every reported relationship can be read directly.</w:t>
      </w:r>
    </w:p>
    <w:p w14:paraId="7FE2406E"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3"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S12. Synthesis figures for the main text</w:t>
      </w:r>
    </w:p>
    <w:p w14:paraId="5ECEB834"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Two synthesis figures are generated from the same objects as the tables, with no separate data preparation.</w:t>
      </w:r>
    </w:p>
    <w:p w14:paraId="08CA555A"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5" w14:textId="28DD034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 xml:space="preserve">S13. </w:t>
      </w:r>
      <w:r w:rsidR="00CA1A06">
        <w:rPr>
          <w:rFonts w:ascii="Times New Roman" w:hAnsi="Times New Roman" w:cs="Times New Roman"/>
          <w:b/>
          <w:bCs/>
          <w:color w:val="1F3864"/>
          <w:sz w:val="24"/>
          <w:szCs w:val="24"/>
        </w:rPr>
        <w:t>M</w:t>
      </w:r>
      <w:r w:rsidRPr="007329FD">
        <w:rPr>
          <w:rFonts w:ascii="Times New Roman" w:hAnsi="Times New Roman" w:cs="Times New Roman"/>
          <w:b/>
          <w:bCs/>
          <w:color w:val="1F3864"/>
          <w:sz w:val="24"/>
          <w:szCs w:val="24"/>
        </w:rPr>
        <w:t>anuscript narrative numbers</w:t>
      </w:r>
    </w:p>
    <w:p w14:paraId="5ECEB836"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S13.1 Study counts, bibliometrics and reference integrity</w:t>
      </w:r>
    </w:p>
    <w:p w14:paraId="5ECEB83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Study counts, geographic distribution and the reference join between the data sheets and Table_SM_2.1 are recomputed and reported, so that every count quoted in the narrative is produced by the run.</w:t>
      </w:r>
    </w:p>
    <w:p w14:paraId="66A4A91B"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S13.2 Regulatory P/M/B screening appendix</w:t>
      </w:r>
    </w:p>
    <w:p w14:paraId="5ECEB839"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CLP 2023/707 mobility criteria and EMA Phase I and Phase II bioaccumulation triggers are applied across all compounds and reported with the counts quoted in the manuscript.</w:t>
      </w:r>
    </w:p>
    <w:p w14:paraId="6C6FE2BB"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A"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S13.3 Provenance of the mobility and bioaccumulation axes</w:t>
      </w:r>
    </w:p>
    <w:p w14:paraId="5ECEB83B"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The estimate-sensitivity test applied to half-lives is extended to the mobility and bioaccumulation axes: for every compound the module reports how many log K</w:t>
      </w:r>
      <w:r w:rsidRPr="00CA1A06">
        <w:rPr>
          <w:rFonts w:ascii="Times New Roman" w:hAnsi="Times New Roman" w:cs="Times New Roman"/>
          <w:sz w:val="24"/>
          <w:szCs w:val="24"/>
          <w:vertAlign w:val="subscript"/>
        </w:rPr>
        <w:t>OC</w:t>
      </w:r>
      <w:r w:rsidRPr="007329FD">
        <w:rPr>
          <w:rFonts w:ascii="Times New Roman" w:hAnsi="Times New Roman" w:cs="Times New Roman"/>
          <w:sz w:val="24"/>
          <w:szCs w:val="24"/>
        </w:rPr>
        <w:t>, log K</w:t>
      </w:r>
      <w:r w:rsidRPr="00CA1A06">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and log D</w:t>
      </w:r>
      <w:r w:rsidRPr="00CA1A06">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records are measured and how many are database-derived, whether the triggering descriptor has any measured support, and how the classification changes when database-derived values are removed.</w:t>
      </w:r>
    </w:p>
    <w:p w14:paraId="3299655D"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C"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S14. Provenance module: data lineage and half-life ratio analyses</w:t>
      </w:r>
    </w:p>
    <w:p w14:paraId="5ECEB83D"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S14.1 Long-format lineage table</w:t>
      </w:r>
    </w:p>
    <w:p w14:paraId="5ECEB83E"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half-life data are reshaped to long format, one record per row, annotated by compound, therapeutic class, compartment or condition, source and provenance class.</w:t>
      </w:r>
    </w:p>
    <w:p w14:paraId="5ECEB83F"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S14.2 Provenance assignment</w:t>
      </w:r>
    </w:p>
    <w:p w14:paraId="5ECEB840"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Each source study is assigned one provenance class from its design: field-derived for in-situ environmental measurements, laboratory-derived for controlled-redox incubations or column experiments, and database-derived for EPI Suite estimates. The assignment is read from Table_SM_2.1; where an external corrected classification file is present beside the workbook its values take precedence, and the source actually used is reported in the run log.</w:t>
      </w:r>
    </w:p>
    <w:p w14:paraId="5ECEB841"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Field-derived includes attenuation rates fitted to field time series as well as directly observed dissipation. Such values carry model assumptions of their own, and the single largest field half-life in the compilation should be read with that in mind.</w:t>
      </w:r>
    </w:p>
    <w:p w14:paraId="5ECEB842"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S14.3 The five ratio analyses</w:t>
      </w:r>
    </w:p>
    <w:p w14:paraId="5ECEB84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Five paired analyses are computed: laboratory versus field by compound and by compound–compartment pair, measured versus estimated by comparison and pooled by pair, and the estimate ratio for compounds carrying both. Ratios are computed only where both members of a pair exist, and the number of pairs is reported with every median and interquartile range.</w:t>
      </w:r>
    </w:p>
    <w:p w14:paraId="41D9C7C1"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S15. Warning policy, data-integrity audit and run integrity census</w:t>
      </w:r>
    </w:p>
    <w:p w14:paraId="5ECEB84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S15.1 Warnings are not suppressed</w:t>
      </w:r>
    </w:p>
    <w:p w14:paraId="5ECEB846"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Warnings surface immediately rather than at the end of the run, so that the module that produced them is identifiable.</w:t>
      </w:r>
    </w:p>
    <w:p w14:paraId="5ECEB847"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S15.2 Data-integrity audit</w:t>
      </w:r>
    </w:p>
    <w:p w14:paraId="5ECEB848"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non-empty cell of the analysis columns of the generated harmonised tables must parse to a number; any that does not is logged and reported, so a silent missing value can never enter a published statistic.</w:t>
      </w:r>
    </w:p>
    <w:p w14:paraId="2302811D"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9"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S15.3 Rule-conformance audit</w:t>
      </w:r>
    </w:p>
    <w:p w14:paraId="5ECEB84A" w14:textId="322003E9"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Because the harmonised tables are generated, conformance to the rules of Table S.2 is guaranteed by construction rather than asserted, and the harmonisation_audit sheet inside each derived table exposes the rule applied to every cell for inspection. The parse check of Section S15.2 confirms that a value is a number; the harmonisation_audit sheet confirms that it is the right number.</w:t>
      </w:r>
    </w:p>
    <w:p w14:paraId="4CE535FA"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B"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S15.4 Run integrity census</w:t>
      </w:r>
    </w:p>
    <w:p w14:paraId="5ECEB84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run reports the number of rows read from each sheet, the number of values retained and excluded per variable, the number of records removed by the zero policy, and the number of compounds and studies entering each module.</w:t>
      </w:r>
    </w:p>
    <w:p w14:paraId="188FC49F"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S16. Outputs</w:t>
      </w:r>
    </w:p>
    <w:p w14:paraId="5ECEB84E"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S.4. Files written by one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3736AD" w:rsidRPr="007329FD" w14:paraId="5ECEB851" w14:textId="77777777">
        <w:trPr>
          <w:tblHeader/>
        </w:trPr>
        <w:tc>
          <w:tcPr>
            <w:tcW w:w="3200" w:type="dxa"/>
            <w:shd w:val="clear" w:color="auto" w:fill="DCE6F1"/>
            <w:tcMar>
              <w:top w:w="60" w:type="dxa"/>
              <w:left w:w="90" w:type="dxa"/>
              <w:bottom w:w="60" w:type="dxa"/>
              <w:right w:w="90" w:type="dxa"/>
            </w:tcMar>
          </w:tcPr>
          <w:p w14:paraId="5ECEB84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File</w:t>
            </w:r>
          </w:p>
        </w:tc>
        <w:tc>
          <w:tcPr>
            <w:tcW w:w="6160" w:type="dxa"/>
            <w:shd w:val="clear" w:color="auto" w:fill="DCE6F1"/>
            <w:tcMar>
              <w:top w:w="60" w:type="dxa"/>
              <w:left w:w="90" w:type="dxa"/>
              <w:bottom w:w="60" w:type="dxa"/>
              <w:right w:w="90" w:type="dxa"/>
            </w:tcMar>
          </w:tcPr>
          <w:p w14:paraId="5ECEB85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Content</w:t>
            </w:r>
          </w:p>
        </w:tc>
      </w:tr>
      <w:tr w:rsidR="003736AD" w:rsidRPr="007329FD" w14:paraId="5ECEB854" w14:textId="77777777">
        <w:tc>
          <w:tcPr>
            <w:tcW w:w="3200" w:type="dxa"/>
            <w:tcMar>
              <w:top w:w="60" w:type="dxa"/>
              <w:left w:w="90" w:type="dxa"/>
              <w:bottom w:w="60" w:type="dxa"/>
              <w:right w:w="90" w:type="dxa"/>
            </w:tcMar>
          </w:tcPr>
          <w:p w14:paraId="5ECEB85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Table_SM_2.5.xlsx</w:t>
            </w:r>
          </w:p>
        </w:tc>
        <w:tc>
          <w:tcPr>
            <w:tcW w:w="6160" w:type="dxa"/>
            <w:tcMar>
              <w:top w:w="60" w:type="dxa"/>
              <w:left w:w="90" w:type="dxa"/>
              <w:bottom w:w="60" w:type="dxa"/>
              <w:right w:w="90" w:type="dxa"/>
            </w:tcMar>
          </w:tcPr>
          <w:p w14:paraId="5ECEB85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DERIVED harmonised physicochemical properties, built from Table_SM_2.2. Sheets: the table, a README, the cell-level harmonisation audit, and the declared parameters</w:t>
            </w:r>
          </w:p>
        </w:tc>
      </w:tr>
      <w:tr w:rsidR="003736AD" w:rsidRPr="007329FD" w14:paraId="5ECEB857" w14:textId="77777777">
        <w:tc>
          <w:tcPr>
            <w:tcW w:w="3200" w:type="dxa"/>
            <w:tcMar>
              <w:top w:w="60" w:type="dxa"/>
              <w:left w:w="90" w:type="dxa"/>
              <w:bottom w:w="60" w:type="dxa"/>
              <w:right w:w="90" w:type="dxa"/>
            </w:tcMar>
          </w:tcPr>
          <w:p w14:paraId="5ECEB85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Table_SM_2.6.xlsx</w:t>
            </w:r>
          </w:p>
        </w:tc>
        <w:tc>
          <w:tcPr>
            <w:tcW w:w="6160" w:type="dxa"/>
            <w:tcMar>
              <w:top w:w="60" w:type="dxa"/>
              <w:left w:w="90" w:type="dxa"/>
              <w:bottom w:w="60" w:type="dxa"/>
              <w:right w:w="90" w:type="dxa"/>
            </w:tcMar>
          </w:tcPr>
          <w:p w14:paraId="5ECEB85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DERIVED harmonised environmental fate, built from Table_SM_2.3, with the same four sheets</w:t>
            </w:r>
          </w:p>
        </w:tc>
      </w:tr>
      <w:tr w:rsidR="003736AD" w:rsidRPr="007329FD" w14:paraId="5ECEB85A" w14:textId="77777777">
        <w:tc>
          <w:tcPr>
            <w:tcW w:w="3200" w:type="dxa"/>
            <w:tcMar>
              <w:top w:w="60" w:type="dxa"/>
              <w:left w:w="90" w:type="dxa"/>
              <w:bottom w:w="60" w:type="dxa"/>
              <w:right w:w="90" w:type="dxa"/>
            </w:tcMar>
          </w:tcPr>
          <w:p w14:paraId="5ECEB85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SM_2_generated.xlsx</w:t>
            </w:r>
          </w:p>
        </w:tc>
        <w:tc>
          <w:tcPr>
            <w:tcW w:w="6160" w:type="dxa"/>
            <w:tcMar>
              <w:top w:w="60" w:type="dxa"/>
              <w:left w:w="90" w:type="dxa"/>
              <w:bottom w:w="60" w:type="dxa"/>
              <w:right w:w="90" w:type="dxa"/>
            </w:tcMar>
          </w:tcPr>
          <w:p w14:paraId="5ECEB859"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Working copy of the input workbook with the two derived tables inserted and all other sheets carried through unchanged. This is the file every downstream module reads</w:t>
            </w:r>
          </w:p>
        </w:tc>
      </w:tr>
      <w:tr w:rsidR="003736AD" w:rsidRPr="007329FD" w14:paraId="5ECEB85D" w14:textId="77777777">
        <w:tc>
          <w:tcPr>
            <w:tcW w:w="3200" w:type="dxa"/>
            <w:tcMar>
              <w:top w:w="60" w:type="dxa"/>
              <w:left w:w="90" w:type="dxa"/>
              <w:bottom w:w="60" w:type="dxa"/>
              <w:right w:w="90" w:type="dxa"/>
            </w:tcMar>
          </w:tcPr>
          <w:p w14:paraId="5ECEB85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Table_SM_2.4.xlsx</w:t>
            </w:r>
          </w:p>
        </w:tc>
        <w:tc>
          <w:tcPr>
            <w:tcW w:w="6160" w:type="dxa"/>
            <w:tcMar>
              <w:top w:w="60" w:type="dxa"/>
              <w:left w:w="90" w:type="dxa"/>
              <w:bottom w:w="60" w:type="dxa"/>
              <w:right w:w="90" w:type="dxa"/>
            </w:tcMar>
          </w:tcPr>
          <w:p w14:paraId="5ECEB85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Censoring assessment and dataset census</w:t>
            </w:r>
          </w:p>
        </w:tc>
      </w:tr>
      <w:tr w:rsidR="003736AD" w:rsidRPr="007329FD" w14:paraId="5ECEB860" w14:textId="77777777">
        <w:tc>
          <w:tcPr>
            <w:tcW w:w="3200" w:type="dxa"/>
            <w:tcMar>
              <w:top w:w="60" w:type="dxa"/>
              <w:left w:w="90" w:type="dxa"/>
              <w:bottom w:w="60" w:type="dxa"/>
              <w:right w:w="90" w:type="dxa"/>
            </w:tcMar>
          </w:tcPr>
          <w:p w14:paraId="5ECEB85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Table_SM_2.7.xlsx</w:t>
            </w:r>
          </w:p>
        </w:tc>
        <w:tc>
          <w:tcPr>
            <w:tcW w:w="6160" w:type="dxa"/>
            <w:tcMar>
              <w:top w:w="60" w:type="dxa"/>
              <w:left w:w="90" w:type="dxa"/>
              <w:bottom w:w="60" w:type="dxa"/>
              <w:right w:w="90" w:type="dxa"/>
            </w:tcMar>
          </w:tcPr>
          <w:p w14:paraId="5ECEB85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Below-limit substitution sensitivity analysis</w:t>
            </w:r>
          </w:p>
        </w:tc>
      </w:tr>
      <w:tr w:rsidR="003736AD" w:rsidRPr="007329FD" w14:paraId="5ECEB863" w14:textId="77777777">
        <w:tc>
          <w:tcPr>
            <w:tcW w:w="3200" w:type="dxa"/>
            <w:tcMar>
              <w:top w:w="60" w:type="dxa"/>
              <w:left w:w="90" w:type="dxa"/>
              <w:bottom w:w="60" w:type="dxa"/>
              <w:right w:w="90" w:type="dxa"/>
            </w:tcMar>
          </w:tcPr>
          <w:p w14:paraId="5ECEB86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Table_SM_2.8.xlsx</w:t>
            </w:r>
          </w:p>
        </w:tc>
        <w:tc>
          <w:tcPr>
            <w:tcW w:w="6160" w:type="dxa"/>
            <w:tcMar>
              <w:top w:w="60" w:type="dxa"/>
              <w:left w:w="90" w:type="dxa"/>
              <w:bottom w:w="60" w:type="dxa"/>
              <w:right w:w="90" w:type="dxa"/>
            </w:tcMar>
          </w:tcPr>
          <w:p w14:paraId="5ECEB86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Thirty regressions in pooled, measured-only and log₁₀ forms with diagnostics</w:t>
            </w:r>
          </w:p>
        </w:tc>
      </w:tr>
      <w:tr w:rsidR="003736AD" w:rsidRPr="007329FD" w14:paraId="5ECEB866" w14:textId="77777777">
        <w:tc>
          <w:tcPr>
            <w:tcW w:w="3200" w:type="dxa"/>
            <w:tcMar>
              <w:top w:w="60" w:type="dxa"/>
              <w:left w:w="90" w:type="dxa"/>
              <w:bottom w:w="60" w:type="dxa"/>
              <w:right w:w="90" w:type="dxa"/>
            </w:tcMar>
          </w:tcPr>
          <w:p w14:paraId="5ECEB86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Table_SM_2.9.xlsx / _a</w:t>
            </w:r>
          </w:p>
        </w:tc>
        <w:tc>
          <w:tcPr>
            <w:tcW w:w="6160" w:type="dxa"/>
            <w:tcMar>
              <w:top w:w="60" w:type="dxa"/>
              <w:left w:w="90" w:type="dxa"/>
              <w:bottom w:w="60" w:type="dxa"/>
              <w:right w:w="90" w:type="dxa"/>
            </w:tcMar>
          </w:tcPr>
          <w:p w14:paraId="5ECEB86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Persistence screening, estimate and study-level sensitivity; regulatory screening and axis provenance</w:t>
            </w:r>
          </w:p>
        </w:tc>
      </w:tr>
      <w:tr w:rsidR="003736AD" w:rsidRPr="007329FD" w14:paraId="5ECEB869" w14:textId="77777777">
        <w:tc>
          <w:tcPr>
            <w:tcW w:w="3200" w:type="dxa"/>
            <w:tcMar>
              <w:top w:w="60" w:type="dxa"/>
              <w:left w:w="90" w:type="dxa"/>
              <w:bottom w:w="60" w:type="dxa"/>
              <w:right w:w="90" w:type="dxa"/>
            </w:tcMar>
          </w:tcPr>
          <w:p w14:paraId="5ECEB86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Table_SM_2.10.xlsx</w:t>
            </w:r>
          </w:p>
        </w:tc>
        <w:tc>
          <w:tcPr>
            <w:tcW w:w="6160" w:type="dxa"/>
            <w:tcMar>
              <w:top w:w="60" w:type="dxa"/>
              <w:left w:w="90" w:type="dxa"/>
              <w:bottom w:w="60" w:type="dxa"/>
              <w:right w:w="90" w:type="dxa"/>
            </w:tcMar>
          </w:tcPr>
          <w:p w14:paraId="5ECEB86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Long-format half-life lineage with provenance</w:t>
            </w:r>
          </w:p>
        </w:tc>
      </w:tr>
      <w:tr w:rsidR="003736AD" w:rsidRPr="007329FD" w14:paraId="5ECEB86C" w14:textId="77777777">
        <w:tc>
          <w:tcPr>
            <w:tcW w:w="3200" w:type="dxa"/>
            <w:tcMar>
              <w:top w:w="60" w:type="dxa"/>
              <w:left w:w="90" w:type="dxa"/>
              <w:bottom w:w="60" w:type="dxa"/>
              <w:right w:w="90" w:type="dxa"/>
            </w:tcMar>
          </w:tcPr>
          <w:p w14:paraId="5ECEB86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Table_SM_2.11.xlsx</w:t>
            </w:r>
          </w:p>
        </w:tc>
        <w:tc>
          <w:tcPr>
            <w:tcW w:w="6160" w:type="dxa"/>
            <w:tcMar>
              <w:top w:w="60" w:type="dxa"/>
              <w:left w:w="90" w:type="dxa"/>
              <w:bottom w:w="60" w:type="dxa"/>
              <w:right w:w="90" w:type="dxa"/>
            </w:tcMar>
          </w:tcPr>
          <w:p w14:paraId="5ECEB86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The five ratio analyses</w:t>
            </w:r>
          </w:p>
        </w:tc>
      </w:tr>
      <w:tr w:rsidR="003736AD" w:rsidRPr="007329FD" w14:paraId="5ECEB86F" w14:textId="77777777">
        <w:tc>
          <w:tcPr>
            <w:tcW w:w="3200" w:type="dxa"/>
            <w:tcMar>
              <w:top w:w="60" w:type="dxa"/>
              <w:left w:w="90" w:type="dxa"/>
              <w:bottom w:w="60" w:type="dxa"/>
              <w:right w:w="90" w:type="dxa"/>
            </w:tcMar>
          </w:tcPr>
          <w:p w14:paraId="5ECEB86D"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Table_SM_2.1_a.xlsx</w:t>
            </w:r>
          </w:p>
        </w:tc>
        <w:tc>
          <w:tcPr>
            <w:tcW w:w="6160" w:type="dxa"/>
            <w:tcMar>
              <w:top w:w="60" w:type="dxa"/>
              <w:left w:w="90" w:type="dxa"/>
              <w:bottom w:w="60" w:type="dxa"/>
              <w:right w:w="90" w:type="dxa"/>
            </w:tcMar>
          </w:tcPr>
          <w:p w14:paraId="5ECEB86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Geographic and bibliometric reconciliation</w:t>
            </w:r>
          </w:p>
        </w:tc>
      </w:tr>
      <w:tr w:rsidR="003736AD" w:rsidRPr="007329FD" w14:paraId="5ECEB872" w14:textId="77777777">
        <w:tc>
          <w:tcPr>
            <w:tcW w:w="3200" w:type="dxa"/>
            <w:tcMar>
              <w:top w:w="60" w:type="dxa"/>
              <w:left w:w="90" w:type="dxa"/>
              <w:bottom w:w="60" w:type="dxa"/>
              <w:right w:w="90" w:type="dxa"/>
            </w:tcMar>
          </w:tcPr>
          <w:p w14:paraId="5ECEB87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SM_3_properties.xlsx</w:t>
            </w:r>
          </w:p>
        </w:tc>
        <w:tc>
          <w:tcPr>
            <w:tcW w:w="6160" w:type="dxa"/>
            <w:tcMar>
              <w:top w:w="60" w:type="dxa"/>
              <w:left w:w="90" w:type="dxa"/>
              <w:bottom w:w="60" w:type="dxa"/>
              <w:right w:w="90" w:type="dxa"/>
            </w:tcMar>
          </w:tcPr>
          <w:p w14:paraId="5ECEB87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Descriptive statistics for the six physicochemical descriptors, both weighting schemes</w:t>
            </w:r>
          </w:p>
        </w:tc>
      </w:tr>
      <w:tr w:rsidR="003736AD" w:rsidRPr="007329FD" w14:paraId="5ECEB875" w14:textId="77777777">
        <w:tc>
          <w:tcPr>
            <w:tcW w:w="3200" w:type="dxa"/>
            <w:tcMar>
              <w:top w:w="60" w:type="dxa"/>
              <w:left w:w="90" w:type="dxa"/>
              <w:bottom w:w="60" w:type="dxa"/>
              <w:right w:w="90" w:type="dxa"/>
            </w:tcMar>
          </w:tcPr>
          <w:p w14:paraId="5ECEB87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SM_4_fate.xlsx</w:t>
            </w:r>
          </w:p>
        </w:tc>
        <w:tc>
          <w:tcPr>
            <w:tcW w:w="6160" w:type="dxa"/>
            <w:tcMar>
              <w:top w:w="60" w:type="dxa"/>
              <w:left w:w="90" w:type="dxa"/>
              <w:bottom w:w="60" w:type="dxa"/>
              <w:right w:w="90" w:type="dxa"/>
            </w:tcMar>
          </w:tcPr>
          <w:p w14:paraId="5ECEB87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Descriptive statistics for the six half-life variables (both weighting schemes) in the Harmonized_*/AGG_* sheets, plus the censored-data concentration statistics for the four concentration variables in the Conc_* sheets (see next row). The biased point-table concentration statistics are not produced.</w:t>
            </w:r>
          </w:p>
        </w:tc>
      </w:tr>
      <w:tr w:rsidR="003736AD" w:rsidRPr="007329FD" w14:paraId="5ECEB878" w14:textId="77777777">
        <w:tc>
          <w:tcPr>
            <w:tcW w:w="3200" w:type="dxa"/>
            <w:tcMar>
              <w:top w:w="60" w:type="dxa"/>
              <w:left w:w="90" w:type="dxa"/>
              <w:bottom w:w="60" w:type="dxa"/>
              <w:right w:w="90" w:type="dxa"/>
            </w:tcMar>
          </w:tcPr>
          <w:p w14:paraId="5ECEB87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figures/</w:t>
            </w:r>
          </w:p>
        </w:tc>
        <w:tc>
          <w:tcPr>
            <w:tcW w:w="6160" w:type="dxa"/>
            <w:tcMar>
              <w:top w:w="60" w:type="dxa"/>
              <w:left w:w="90" w:type="dxa"/>
              <w:bottom w:w="60" w:type="dxa"/>
              <w:right w:w="90" w:type="dxa"/>
            </w:tcMar>
          </w:tcPr>
          <w:p w14:paraId="5ECEB87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All boxplot and synthesis figures</w:t>
            </w:r>
          </w:p>
        </w:tc>
      </w:tr>
      <w:tr w:rsidR="00D765A1" w14:paraId="41B108A0" w14:textId="77777777">
        <w:tc>
          <w:tcPr>
            <w:tcW w:w="3200" w:type="dxa"/>
          </w:tcPr>
          <w:p w14:paraId="7912DBC9" w14:textId="77777777" w:rsidR="00D765A1" w:rsidRDefault="004E4AD9">
            <w:r>
              <w:t>SM_4_fate.xlsx — Conc_* sheets</w:t>
            </w:r>
          </w:p>
        </w:tc>
        <w:tc>
          <w:tcPr>
            <w:tcW w:w="6160" w:type="dxa"/>
          </w:tcPr>
          <w:p w14:paraId="6386B3EA" w14:textId="77777777" w:rsidR="00D765A1" w:rsidRDefault="004E4AD9">
            <w:r>
              <w:t>Censored-data concentration statistics for the four concentration variables (Kaplan–Meier primary; Turnbull/DL2 cross-checks), reported overall, by class and by compound, with detection frequencies, under both weighting schemes. These are the concentration statistics of record; they replace the point-table concentration statistics, which are not produced.</w:t>
            </w:r>
          </w:p>
        </w:tc>
      </w:tr>
    </w:tbl>
    <w:p w14:paraId="0AEBB0FE" w14:textId="77777777" w:rsidR="00CA1A06" w:rsidRDefault="00CA1A06" w:rsidP="007329FD">
      <w:pPr>
        <w:pStyle w:val="Heading1"/>
        <w:spacing w:before="300" w:after="140" w:line="360" w:lineRule="auto"/>
        <w:jc w:val="both"/>
        <w:rPr>
          <w:rFonts w:ascii="Times New Roman" w:hAnsi="Times New Roman" w:cs="Times New Roman"/>
          <w:b/>
          <w:bCs/>
          <w:color w:val="1F3864"/>
          <w:sz w:val="24"/>
          <w:szCs w:val="24"/>
        </w:rPr>
      </w:pPr>
    </w:p>
    <w:p w14:paraId="5ECEB879" w14:textId="5E76B431"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S17. Reproducibility statement</w:t>
      </w:r>
    </w:p>
    <w:p w14:paraId="5ECEB87A"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The workflow is a single, self-contained script driven by a single input workbook, with deterministic output. From version 3 there is no curation step outside it: the raw-to-harmonised transformation described in Section S4 is executed by the script, audited cell by cell in the harmonisation_audit sheet of each derived table, and its output is the input to every later module. Re-execution in a clean environment from SM_2.xlsx alone regenerates every file in Table S.4, including the harmonised tables themselves.</w:t>
      </w:r>
    </w:p>
    <w:p w14:paraId="5ECEB87B"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One class of reported quantity still cannot be regenerated from SM_2.xlsx and is marked as such rather than silently produced: the upstream PRISMA search-and-screening counts, which originate in the screening log and are supplied as a template for manual completion.</w:t>
      </w:r>
    </w:p>
    <w:p w14:paraId="5ECEB87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Measured values remain distinguishable from substitution-derived and database-derived values at every stage: the rule applied to each cell is recorded in the harmonisation_audit sheet of the derived tables, the censoring assessment quantifies the substitution per variable, and the provenance module tags every half-life by study design.</w:t>
      </w:r>
    </w:p>
    <w:sectPr w:rsidR="003736A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1285B"/>
    <w:multiLevelType w:val="hybridMultilevel"/>
    <w:tmpl w:val="2E9A0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B66651E"/>
    <w:multiLevelType w:val="hybridMultilevel"/>
    <w:tmpl w:val="634A8956"/>
    <w:lvl w:ilvl="0" w:tplc="20A496A2">
      <w:start w:val="1"/>
      <w:numFmt w:val="bullet"/>
      <w:lvlText w:val="●"/>
      <w:lvlJc w:val="left"/>
      <w:pPr>
        <w:ind w:left="720" w:hanging="360"/>
      </w:pPr>
    </w:lvl>
    <w:lvl w:ilvl="1" w:tplc="4BE89C52">
      <w:start w:val="1"/>
      <w:numFmt w:val="bullet"/>
      <w:lvlText w:val="○"/>
      <w:lvlJc w:val="left"/>
      <w:pPr>
        <w:ind w:left="1440" w:hanging="360"/>
      </w:pPr>
    </w:lvl>
    <w:lvl w:ilvl="2" w:tplc="5BBCCA24">
      <w:start w:val="1"/>
      <w:numFmt w:val="bullet"/>
      <w:lvlText w:val="■"/>
      <w:lvlJc w:val="left"/>
      <w:pPr>
        <w:ind w:left="2160" w:hanging="360"/>
      </w:pPr>
    </w:lvl>
    <w:lvl w:ilvl="3" w:tplc="665EAA16">
      <w:start w:val="1"/>
      <w:numFmt w:val="bullet"/>
      <w:lvlText w:val="●"/>
      <w:lvlJc w:val="left"/>
      <w:pPr>
        <w:ind w:left="2880" w:hanging="360"/>
      </w:pPr>
    </w:lvl>
    <w:lvl w:ilvl="4" w:tplc="B86217E6">
      <w:start w:val="1"/>
      <w:numFmt w:val="bullet"/>
      <w:lvlText w:val="○"/>
      <w:lvlJc w:val="left"/>
      <w:pPr>
        <w:ind w:left="3600" w:hanging="360"/>
      </w:pPr>
    </w:lvl>
    <w:lvl w:ilvl="5" w:tplc="26DABE12">
      <w:start w:val="1"/>
      <w:numFmt w:val="bullet"/>
      <w:lvlText w:val="■"/>
      <w:lvlJc w:val="left"/>
      <w:pPr>
        <w:ind w:left="4320" w:hanging="360"/>
      </w:pPr>
    </w:lvl>
    <w:lvl w:ilvl="6" w:tplc="53069964">
      <w:start w:val="1"/>
      <w:numFmt w:val="bullet"/>
      <w:lvlText w:val="●"/>
      <w:lvlJc w:val="left"/>
      <w:pPr>
        <w:ind w:left="5040" w:hanging="360"/>
      </w:pPr>
    </w:lvl>
    <w:lvl w:ilvl="7" w:tplc="1CBC99CA">
      <w:start w:val="1"/>
      <w:numFmt w:val="bullet"/>
      <w:lvlText w:val="●"/>
      <w:lvlJc w:val="left"/>
      <w:pPr>
        <w:ind w:left="5760" w:hanging="360"/>
      </w:pPr>
    </w:lvl>
    <w:lvl w:ilvl="8" w:tplc="473C4C00">
      <w:start w:val="1"/>
      <w:numFmt w:val="bullet"/>
      <w:lvlText w:val="●"/>
      <w:lvlJc w:val="left"/>
      <w:pPr>
        <w:ind w:left="6480" w:hanging="360"/>
      </w:pPr>
    </w:lvl>
  </w:abstractNum>
  <w:num w:numId="1" w16cid:durableId="2138638148">
    <w:abstractNumId w:val="1"/>
    <w:lvlOverride w:ilvl="0">
      <w:startOverride w:val="1"/>
    </w:lvlOverride>
  </w:num>
  <w:num w:numId="2" w16cid:durableId="1514566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6AD"/>
    <w:rsid w:val="00020610"/>
    <w:rsid w:val="000E1273"/>
    <w:rsid w:val="001017EA"/>
    <w:rsid w:val="00134B28"/>
    <w:rsid w:val="00164774"/>
    <w:rsid w:val="00292179"/>
    <w:rsid w:val="002A02B0"/>
    <w:rsid w:val="002D6E52"/>
    <w:rsid w:val="00302C93"/>
    <w:rsid w:val="003736AD"/>
    <w:rsid w:val="0037583C"/>
    <w:rsid w:val="003B6384"/>
    <w:rsid w:val="003C7C52"/>
    <w:rsid w:val="00481948"/>
    <w:rsid w:val="00520B76"/>
    <w:rsid w:val="005F2F14"/>
    <w:rsid w:val="006C6198"/>
    <w:rsid w:val="007329FD"/>
    <w:rsid w:val="0079332F"/>
    <w:rsid w:val="008348B3"/>
    <w:rsid w:val="00884DBB"/>
    <w:rsid w:val="00896AC0"/>
    <w:rsid w:val="008D5759"/>
    <w:rsid w:val="00924F5E"/>
    <w:rsid w:val="00A42DD4"/>
    <w:rsid w:val="00AD360E"/>
    <w:rsid w:val="00B47BA2"/>
    <w:rsid w:val="00B609B1"/>
    <w:rsid w:val="00B67498"/>
    <w:rsid w:val="00BC3B84"/>
    <w:rsid w:val="00BD6926"/>
    <w:rsid w:val="00BE758D"/>
    <w:rsid w:val="00C3593F"/>
    <w:rsid w:val="00C733D5"/>
    <w:rsid w:val="00CA1A06"/>
    <w:rsid w:val="00D765A1"/>
    <w:rsid w:val="00DC2353"/>
    <w:rsid w:val="00E74320"/>
    <w:rsid w:val="00E779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B79A"/>
  <w15:docId w15:val="{6A528A10-5347-46A0-833A-8A81275BB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a59862@ualg.pt" TargetMode="External"/><Relationship Id="rId3" Type="http://schemas.openxmlformats.org/officeDocument/2006/relationships/settings" Target="settings.xml"/><Relationship Id="rId7" Type="http://schemas.openxmlformats.org/officeDocument/2006/relationships/hyperlink" Target="mailto:lnunes@ualg.p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jpmontei@ualg.pt" TargetMode="External"/><Relationship Id="rId5" Type="http://schemas.openxmlformats.org/officeDocument/2006/relationships/hyperlink" Target="mailto:a59862@ualg.p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18</Pages>
  <Words>4965</Words>
  <Characters>28307</Characters>
  <Application>Microsoft Office Word</Application>
  <DocSecurity>0</DocSecurity>
  <Lines>235</Lines>
  <Paragraphs>66</Paragraphs>
  <ScaleCrop>false</ScaleCrop>
  <Company/>
  <LinksUpToDate>false</LinksUpToDate>
  <CharactersWithSpaces>33206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PAOLO TUFONI</cp:lastModifiedBy>
  <cp:revision>30</cp:revision>
  <dcterms:created xsi:type="dcterms:W3CDTF">2026-08-05T10:09:00Z</dcterms:created>
  <dcterms:modified xsi:type="dcterms:W3CDTF">2026-09-14T12:15:00Z</dcterms:modified>
</cp:coreProperties>
</file>