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EC8411" w14:textId="77777777" w:rsidR="00A42DD4" w:rsidRPr="00DF584A" w:rsidRDefault="00A42DD4" w:rsidP="00A42DD4">
      <w:pPr>
        <w:suppressLineNumbers/>
        <w:spacing w:line="360" w:lineRule="auto"/>
        <w:jc w:val="both"/>
        <w:rPr>
          <w:rFonts w:ascii="Times New Roman" w:hAnsi="Times New Roman" w:cs="Times New Roman"/>
          <w:b/>
          <w:bCs/>
          <w:sz w:val="24"/>
          <w:szCs w:val="24"/>
        </w:rPr>
      </w:pPr>
      <w:r w:rsidRPr="00DF584A">
        <w:rPr>
          <w:rFonts w:ascii="Times New Roman" w:hAnsi="Times New Roman" w:cs="Times New Roman"/>
          <w:b/>
          <w:bCs/>
          <w:sz w:val="24"/>
          <w:szCs w:val="24"/>
        </w:rPr>
        <w:t xml:space="preserve">Pharmaceutical compounds at the </w:t>
      </w:r>
      <w:r w:rsidRPr="00C1639A">
        <w:rPr>
          <w:rFonts w:ascii="Times New Roman" w:hAnsi="Times New Roman" w:cs="Times New Roman"/>
          <w:b/>
          <w:bCs/>
          <w:sz w:val="24"/>
          <w:szCs w:val="24"/>
        </w:rPr>
        <w:t>surface water–groundwater</w:t>
      </w:r>
      <w:r w:rsidRPr="00DF584A">
        <w:rPr>
          <w:rFonts w:ascii="Times New Roman" w:hAnsi="Times New Roman" w:cs="Times New Roman"/>
          <w:b/>
          <w:bCs/>
          <w:sz w:val="24"/>
          <w:szCs w:val="24"/>
        </w:rPr>
        <w:t xml:space="preserve"> interface: </w:t>
      </w:r>
      <w:r w:rsidRPr="00356854">
        <w:rPr>
          <w:rFonts w:ascii="Times New Roman" w:hAnsi="Times New Roman" w:cs="Times New Roman"/>
          <w:b/>
          <w:bCs/>
          <w:sz w:val="24"/>
          <w:szCs w:val="24"/>
        </w:rPr>
        <w:t>a systematic evidence synthesis of their properties and fate at the hyporheic zone</w:t>
      </w:r>
    </w:p>
    <w:p w14:paraId="709355E4" w14:textId="77777777" w:rsidR="00A42DD4" w:rsidRPr="00DF584A" w:rsidRDefault="00A42DD4" w:rsidP="00A42DD4">
      <w:pPr>
        <w:suppressLineNumbers/>
        <w:spacing w:line="360" w:lineRule="auto"/>
        <w:jc w:val="both"/>
        <w:rPr>
          <w:rFonts w:ascii="Times New Roman" w:hAnsi="Times New Roman" w:cs="Times New Roman"/>
          <w:sz w:val="24"/>
          <w:szCs w:val="24"/>
        </w:rPr>
      </w:pPr>
    </w:p>
    <w:p w14:paraId="5F53043C" w14:textId="77777777" w:rsidR="00A42DD4" w:rsidRPr="00DF584A" w:rsidRDefault="00A42DD4" w:rsidP="00A42DD4">
      <w:pPr>
        <w:suppressLineNumbers/>
        <w:spacing w:line="360" w:lineRule="auto"/>
        <w:jc w:val="both"/>
        <w:rPr>
          <w:rFonts w:ascii="Times New Roman" w:hAnsi="Times New Roman" w:cs="Times New Roman"/>
          <w:sz w:val="24"/>
          <w:szCs w:val="24"/>
        </w:rPr>
      </w:pPr>
      <w:r w:rsidRPr="00DF584A">
        <w:rPr>
          <w:rFonts w:ascii="Times New Roman" w:eastAsiaTheme="majorEastAsia" w:hAnsi="Times New Roman" w:cs="Times New Roman"/>
          <w:sz w:val="24"/>
          <w:szCs w:val="24"/>
        </w:rPr>
        <w:t>Authors:</w:t>
      </w:r>
      <w:r w:rsidRPr="00DF584A">
        <w:rPr>
          <w:rFonts w:ascii="Times New Roman" w:hAnsi="Times New Roman" w:cs="Times New Roman"/>
          <w:sz w:val="24"/>
          <w:szCs w:val="24"/>
        </w:rPr>
        <w:t xml:space="preserve"> Paolo Tufoni </w:t>
      </w:r>
      <w:r w:rsidRPr="00DF584A">
        <w:rPr>
          <w:rFonts w:ascii="Times New Roman" w:hAnsi="Times New Roman" w:cs="Times New Roman"/>
          <w:sz w:val="24"/>
          <w:szCs w:val="24"/>
          <w:vertAlign w:val="superscript"/>
        </w:rPr>
        <w:t>(1)</w:t>
      </w:r>
      <w:r w:rsidRPr="00DF584A">
        <w:rPr>
          <w:rFonts w:ascii="Times New Roman" w:hAnsi="Times New Roman" w:cs="Times New Roman"/>
          <w:sz w:val="24"/>
          <w:szCs w:val="24"/>
        </w:rPr>
        <w:t xml:space="preserve">, and Luís M. Nunes </w:t>
      </w:r>
      <w:r w:rsidRPr="00DF584A">
        <w:rPr>
          <w:rFonts w:ascii="Times New Roman" w:hAnsi="Times New Roman" w:cs="Times New Roman"/>
          <w:sz w:val="24"/>
          <w:szCs w:val="24"/>
          <w:vertAlign w:val="superscript"/>
        </w:rPr>
        <w:t>(1)</w:t>
      </w:r>
      <w:r w:rsidRPr="00DF584A">
        <w:rPr>
          <w:rFonts w:ascii="Times New Roman" w:hAnsi="Times New Roman" w:cs="Times New Roman"/>
          <w:sz w:val="24"/>
          <w:szCs w:val="24"/>
        </w:rPr>
        <w:t xml:space="preserve"> </w:t>
      </w:r>
    </w:p>
    <w:p w14:paraId="0ED66E1B" w14:textId="77777777" w:rsidR="00A42DD4" w:rsidRPr="00DF584A" w:rsidRDefault="00A42DD4" w:rsidP="00A42DD4">
      <w:pPr>
        <w:suppressLineNumbers/>
        <w:spacing w:line="360" w:lineRule="auto"/>
        <w:jc w:val="both"/>
        <w:rPr>
          <w:rFonts w:ascii="Times New Roman" w:hAnsi="Times New Roman" w:cs="Times New Roman"/>
          <w:sz w:val="24"/>
          <w:szCs w:val="24"/>
          <w:lang w:val="it-IT"/>
        </w:rPr>
      </w:pPr>
      <w:r w:rsidRPr="00DF584A">
        <w:rPr>
          <w:rFonts w:ascii="Times New Roman" w:eastAsiaTheme="majorEastAsia" w:hAnsi="Times New Roman" w:cs="Times New Roman"/>
          <w:sz w:val="24"/>
          <w:szCs w:val="24"/>
        </w:rPr>
        <w:t>Affiliation:</w:t>
      </w:r>
      <w:r w:rsidRPr="00DF584A">
        <w:rPr>
          <w:rFonts w:ascii="Times New Roman" w:hAnsi="Times New Roman" w:cs="Times New Roman"/>
          <w:sz w:val="24"/>
          <w:szCs w:val="24"/>
        </w:rPr>
        <w:t xml:space="preserve"> Civil Engineering Research and Innovation for Sustainability Center; University of Algarve, Faro, Portugal. </w:t>
      </w:r>
      <w:hyperlink r:id="rId5" w:history="1">
        <w:r w:rsidRPr="00DF584A">
          <w:rPr>
            <w:rStyle w:val="Hyperlink"/>
            <w:rFonts w:ascii="Times New Roman" w:hAnsi="Times New Roman" w:cs="Times New Roman"/>
            <w:sz w:val="24"/>
            <w:szCs w:val="24"/>
            <w:lang w:val="it-IT"/>
          </w:rPr>
          <w:t>a59862@ualg.pt</w:t>
        </w:r>
      </w:hyperlink>
      <w:r w:rsidRPr="00DF584A">
        <w:rPr>
          <w:rFonts w:ascii="Times New Roman" w:hAnsi="Times New Roman" w:cs="Times New Roman"/>
          <w:sz w:val="24"/>
          <w:szCs w:val="24"/>
          <w:lang w:val="it-IT"/>
        </w:rPr>
        <w:t xml:space="preserve">; </w:t>
      </w:r>
      <w:hyperlink r:id="rId6" w:history="1">
        <w:r w:rsidRPr="00DF584A">
          <w:rPr>
            <w:rStyle w:val="Hyperlink"/>
            <w:rFonts w:ascii="Times New Roman" w:hAnsi="Times New Roman" w:cs="Times New Roman"/>
            <w:sz w:val="24"/>
            <w:szCs w:val="24"/>
            <w:lang w:val="it-IT"/>
          </w:rPr>
          <w:t>lnunes@ualg.pt</w:t>
        </w:r>
      </w:hyperlink>
    </w:p>
    <w:p w14:paraId="534AC265" w14:textId="77777777" w:rsidR="00A42DD4" w:rsidRDefault="00A42DD4" w:rsidP="00A42DD4">
      <w:pPr>
        <w:suppressLineNumbers/>
        <w:spacing w:line="360" w:lineRule="auto"/>
        <w:jc w:val="both"/>
        <w:rPr>
          <w:rFonts w:ascii="Times New Roman" w:hAnsi="Times New Roman" w:cs="Times New Roman"/>
          <w:sz w:val="24"/>
          <w:szCs w:val="24"/>
          <w:lang w:val="it-IT"/>
        </w:rPr>
      </w:pPr>
      <w:r w:rsidRPr="00DF584A">
        <w:rPr>
          <w:rFonts w:ascii="Times New Roman" w:eastAsiaTheme="majorEastAsia" w:hAnsi="Times New Roman" w:cs="Times New Roman"/>
          <w:sz w:val="24"/>
          <w:szCs w:val="24"/>
          <w:lang w:val="it-IT"/>
        </w:rPr>
        <w:t xml:space="preserve">Corresponding author: </w:t>
      </w:r>
      <w:r w:rsidRPr="00DF584A">
        <w:rPr>
          <w:rFonts w:ascii="Times New Roman" w:hAnsi="Times New Roman" w:cs="Times New Roman"/>
          <w:sz w:val="24"/>
          <w:szCs w:val="24"/>
          <w:lang w:val="it-IT"/>
        </w:rPr>
        <w:t xml:space="preserve">Paolo Tufoni </w:t>
      </w:r>
      <w:r w:rsidRPr="00DF584A">
        <w:rPr>
          <w:rFonts w:ascii="Times New Roman" w:hAnsi="Times New Roman" w:cs="Times New Roman"/>
          <w:sz w:val="24"/>
          <w:szCs w:val="24"/>
          <w:vertAlign w:val="superscript"/>
          <w:lang w:val="it-IT"/>
        </w:rPr>
        <w:t>(1)</w:t>
      </w:r>
      <w:r w:rsidRPr="00DF584A">
        <w:rPr>
          <w:rFonts w:ascii="Times New Roman" w:hAnsi="Times New Roman" w:cs="Times New Roman"/>
          <w:sz w:val="24"/>
          <w:szCs w:val="24"/>
          <w:lang w:val="it-IT"/>
        </w:rPr>
        <w:t xml:space="preserve">, </w:t>
      </w:r>
      <w:hyperlink r:id="rId7" w:history="1">
        <w:r w:rsidRPr="00DF584A">
          <w:rPr>
            <w:rStyle w:val="Hyperlink"/>
            <w:rFonts w:ascii="Times New Roman" w:hAnsi="Times New Roman" w:cs="Times New Roman"/>
            <w:sz w:val="24"/>
            <w:szCs w:val="24"/>
            <w:lang w:val="it-IT"/>
          </w:rPr>
          <w:t>a59862@ualg.pt</w:t>
        </w:r>
      </w:hyperlink>
      <w:r w:rsidRPr="00E96504">
        <w:rPr>
          <w:lang w:val="it-IT"/>
        </w:rPr>
        <w:t xml:space="preserve">; </w:t>
      </w:r>
      <w:r w:rsidRPr="00EA545D">
        <w:rPr>
          <w:rFonts w:ascii="Times New Roman" w:eastAsiaTheme="majorEastAsia" w:hAnsi="Times New Roman" w:cs="Times New Roman"/>
          <w:sz w:val="24"/>
          <w:szCs w:val="24"/>
          <w:lang w:val="it-IT"/>
        </w:rPr>
        <w:t xml:space="preserve">ORCID iD: </w:t>
      </w:r>
      <w:r w:rsidRPr="00EA545D">
        <w:rPr>
          <w:rFonts w:ascii="Times New Roman" w:hAnsi="Times New Roman" w:cs="Times New Roman"/>
          <w:sz w:val="24"/>
          <w:szCs w:val="24"/>
          <w:lang w:val="it-IT"/>
        </w:rPr>
        <w:t>0000-0002-6480-6500</w:t>
      </w:r>
    </w:p>
    <w:p w14:paraId="76108C8E" w14:textId="635A86C1" w:rsidR="00A42DD4" w:rsidRDefault="00A42DD4" w:rsidP="00A42DD4">
      <w:pPr>
        <w:suppressLineNumbers/>
        <w:spacing w:line="360" w:lineRule="auto"/>
        <w:jc w:val="both"/>
        <w:rPr>
          <w:rFonts w:ascii="Times New Roman" w:hAnsi="Times New Roman" w:cs="Times New Roman"/>
          <w:sz w:val="24"/>
          <w:szCs w:val="24"/>
        </w:rPr>
      </w:pPr>
      <w:r w:rsidRPr="00A42DD4">
        <w:rPr>
          <w:rFonts w:ascii="Times New Roman" w:hAnsi="Times New Roman" w:cs="Times New Roman"/>
          <w:sz w:val="24"/>
          <w:szCs w:val="24"/>
        </w:rPr>
        <w:t>A</w:t>
      </w:r>
      <w:r w:rsidR="00B47BA2">
        <w:rPr>
          <w:rFonts w:ascii="Times New Roman" w:hAnsi="Times New Roman" w:cs="Times New Roman"/>
          <w:sz w:val="24"/>
          <w:szCs w:val="24"/>
        </w:rPr>
        <w:t>d</w:t>
      </w:r>
      <w:r w:rsidRPr="00A42DD4">
        <w:rPr>
          <w:rFonts w:ascii="Times New Roman" w:hAnsi="Times New Roman" w:cs="Times New Roman"/>
          <w:sz w:val="24"/>
          <w:szCs w:val="24"/>
        </w:rPr>
        <w:t xml:space="preserve">dress: </w:t>
      </w:r>
      <w:r w:rsidRPr="00DF584A">
        <w:rPr>
          <w:rFonts w:ascii="Times New Roman" w:hAnsi="Times New Roman" w:cs="Times New Roman"/>
          <w:sz w:val="24"/>
          <w:szCs w:val="24"/>
        </w:rPr>
        <w:t>University of Algarve, Faro, Portugal.</w:t>
      </w:r>
    </w:p>
    <w:p w14:paraId="149092D4" w14:textId="77777777" w:rsidR="00A42DD4" w:rsidRDefault="00A42DD4" w:rsidP="00A42DD4">
      <w:pPr>
        <w:suppressLineNumbers/>
        <w:spacing w:line="360" w:lineRule="auto"/>
        <w:jc w:val="both"/>
        <w:rPr>
          <w:rFonts w:ascii="Times New Roman" w:hAnsi="Times New Roman" w:cs="Times New Roman"/>
          <w:sz w:val="24"/>
          <w:szCs w:val="24"/>
        </w:rPr>
      </w:pPr>
    </w:p>
    <w:p w14:paraId="36698A11" w14:textId="77777777" w:rsidR="00A42DD4" w:rsidRPr="007329FD" w:rsidRDefault="00A42DD4" w:rsidP="00A42DD4">
      <w:pPr>
        <w:spacing w:after="60"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Description of the reproducible analysis pipeline (analysis_pipeline_2026.R)</w:t>
      </w:r>
    </w:p>
    <w:p w14:paraId="6671CA44" w14:textId="77777777" w:rsidR="00A42DD4" w:rsidRPr="00A42DD4" w:rsidRDefault="00A42DD4" w:rsidP="00A42DD4">
      <w:pPr>
        <w:suppressLineNumbers/>
        <w:spacing w:line="360" w:lineRule="auto"/>
        <w:jc w:val="both"/>
        <w:rPr>
          <w:rFonts w:ascii="Times New Roman" w:hAnsi="Times New Roman" w:cs="Times New Roman"/>
          <w:sz w:val="24"/>
          <w:szCs w:val="24"/>
        </w:rPr>
      </w:pPr>
    </w:p>
    <w:p w14:paraId="5ECEB79D"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 Purpose and design</w:t>
      </w:r>
    </w:p>
    <w:p w14:paraId="5ECEB79E" w14:textId="547DA371"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quantitative result reported in this review is generated by a single, self-contained R script (analysis_pipeline_</w:t>
      </w:r>
      <w:r w:rsidR="00E74320" w:rsidRPr="007329FD">
        <w:rPr>
          <w:rFonts w:ascii="Times New Roman" w:hAnsi="Times New Roman" w:cs="Times New Roman"/>
          <w:sz w:val="24"/>
          <w:szCs w:val="24"/>
        </w:rPr>
        <w:t>2026</w:t>
      </w:r>
      <w:r w:rsidRPr="007329FD">
        <w:rPr>
          <w:rFonts w:ascii="Times New Roman" w:hAnsi="Times New Roman" w:cs="Times New Roman"/>
          <w:sz w:val="24"/>
          <w:szCs w:val="24"/>
        </w:rPr>
        <w:t>.R) that reads one input workbook (SM_2.xlsx) and regenerates, in one execution and without manual intervention, every derived artefact of the study.</w:t>
      </w:r>
    </w:p>
    <w:p w14:paraId="5ECEB79F" w14:textId="592F990A" w:rsidR="003736AD" w:rsidRPr="007329FD" w:rsidRDefault="008D5759"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w:t>
      </w:r>
      <w:r w:rsidR="00DC2353" w:rsidRPr="007329FD">
        <w:rPr>
          <w:rFonts w:ascii="Times New Roman" w:hAnsi="Times New Roman" w:cs="Times New Roman"/>
          <w:sz w:val="24"/>
          <w:szCs w:val="24"/>
        </w:rPr>
        <w:t xml:space="preserve">he script constructs both harmonised tables from the raw compilations Table_SM_2.2 and Table_SM_2.3 by applying the harmonisation rules of Section S4 cell by cell (Section S4b), writes a cell-level audit of every rule application as a </w:t>
      </w:r>
      <w:r w:rsidRPr="007329FD">
        <w:rPr>
          <w:rFonts w:ascii="Times New Roman" w:hAnsi="Times New Roman" w:cs="Times New Roman"/>
          <w:sz w:val="24"/>
          <w:szCs w:val="24"/>
        </w:rPr>
        <w:t>harmonisation audit</w:t>
      </w:r>
      <w:r w:rsidR="00DC2353" w:rsidRPr="007329FD">
        <w:rPr>
          <w:rFonts w:ascii="Times New Roman" w:hAnsi="Times New Roman" w:cs="Times New Roman"/>
          <w:sz w:val="24"/>
          <w:szCs w:val="24"/>
        </w:rPr>
        <w:t xml:space="preserve"> sheet inside each derived table, and then feeds the tables it has built into every downstream module. The chain from a value as reported in a source publication to a value in a published figure is therefore executed end to end in code, and no step of it is performed by hand.</w:t>
      </w:r>
    </w:p>
    <w:p w14:paraId="5ECEB7A0"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artefacts regenerated in one execution are: the harmonised tables and their audit; the censoring assessment and dataset census; the below-limit substitution sensitivity analysis; the descriptive-statistics tables under both weighting schemes; all boxplot figures; the compound-level regressions in their pooled, measured-only and log-transformed forms; the persistence screening with its estimate- and aggregation-sensitivity modules; the regulatory screening appendix with the provenance of all three screening axes; the bibliometric reconciliation; the provenance-resolved half-life lineage and its five ratio analyses; and the two synthesis figures of the main text.</w:t>
      </w:r>
    </w:p>
    <w:p w14:paraId="65F12111"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1"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S2. Software environment and dependencies</w:t>
      </w:r>
    </w:p>
    <w:p w14:paraId="5ECEB7A2" w14:textId="333FA1D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lastRenderedPageBreak/>
        <w:t>The script runs under R and depends on readxl, dplyr, tidyr, tibble, stringr, openxlsx, ggplot2, patchwork, scales, ggrepel, survival, NADA and EnvStats; the ragg device is used for figure rendering if present and is otherwise replaced by the base png device (optional, not required). Missing packages are installed from CRAN at run time. Warnings are not suppressed (options(warn = 1)); console output is otherwise silent by default, and a full diagnostic trace is restored by setting QUIET &lt;- FALSE. All quantile calculations use the type-7 estimator throughout, in every module, so that no two outputs are computed on different conventions.</w:t>
      </w:r>
    </w:p>
    <w:p w14:paraId="5ECEB7A3"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For deposit, record the output of sessionInfo() alongside the script, and pin package versions with renv so that a reader obtains the same environment.</w:t>
      </w:r>
    </w:p>
    <w:p w14:paraId="6B5075E5"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S3. Input workbook, sheet resolution and defensive reading</w:t>
      </w:r>
    </w:p>
    <w:p w14:paraId="5ECEB7A5"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S3.1 Required sheets</w:t>
      </w:r>
    </w:p>
    <w:p w14:paraId="5ECEB7A6" w14:textId="484215C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The script locates SM_2.xlsx by searching the analysis folder first and then the working directory and the usual Desktop, Downloads and Documents locations, so the package remains portable. The workbook must contain the reference table Table_SM_2.1 and the two raw compilations Table_SM_2.2 (physicochemical properties) and Table_SM_2.3 (environmental fate); these three are the only required sheets. </w:t>
      </w:r>
    </w:p>
    <w:p w14:paraId="708F7019"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7"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S3.2 Sheet and header resolution</w:t>
      </w:r>
    </w:p>
    <w:p w14:paraId="5ECEB7A8" w14:textId="2A4A4903"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number of caption rows above the header is detected per sheet rather than assumed, so a sheet gains or loses a title row without breaking the reader.</w:t>
      </w:r>
    </w:p>
    <w:p w14:paraId="3F805BC0" w14:textId="77777777" w:rsidR="007329FD" w:rsidRPr="007329FD" w:rsidRDefault="007329FD" w:rsidP="007329FD">
      <w:pPr>
        <w:spacing w:after="140" w:line="360" w:lineRule="auto"/>
        <w:jc w:val="both"/>
        <w:rPr>
          <w:rFonts w:ascii="Times New Roman" w:hAnsi="Times New Roman" w:cs="Times New Roman"/>
          <w:sz w:val="24"/>
          <w:szCs w:val="24"/>
        </w:rPr>
      </w:pPr>
    </w:p>
    <w:p w14:paraId="5ECEB7A9"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S3.3 Unicode normalisation and the encoding log</w:t>
      </w:r>
    </w:p>
    <w:p w14:paraId="5ECEB7AA"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read passes through one reader that converts the nine Unicode dash variants to an ASCII hyphen, deletes non-breaking and zero-width spaces, and maps the Greek mu to the micro sign. Without this step an entry typed with a non-breaking space or an en-dash is silently unparsable. The substitutions are logged and reported.</w:t>
      </w:r>
    </w:p>
    <w:p w14:paraId="2E12F889" w14:textId="77777777" w:rsidR="00896AC0" w:rsidRPr="007329FD" w:rsidRDefault="00896AC0" w:rsidP="007329FD">
      <w:pPr>
        <w:spacing w:after="140" w:line="360" w:lineRule="auto"/>
        <w:jc w:val="both"/>
        <w:rPr>
          <w:rFonts w:ascii="Times New Roman" w:hAnsi="Times New Roman" w:cs="Times New Roman"/>
          <w:sz w:val="24"/>
          <w:szCs w:val="24"/>
        </w:rPr>
      </w:pPr>
    </w:p>
    <w:p w14:paraId="5ECEB7AF"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lastRenderedPageBreak/>
        <w:t>S4. Harmonisation rules</w:t>
      </w:r>
    </w:p>
    <w:p w14:paraId="5ECEB7B0"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Non-standard and censored entries are handled by a fixed, pre-declared set of decision rules (Table S.2). A central distinction governs the treatment of censored data: a value is left-censored only if it carries a censoring symbol and has no detected upper bound. A reported range with a measured upper bound — including a censored-floor range such as n.d.–y or &lt;x–y — carries a genuine detection and is entered at its midpoint in the primary Kaplan–Meier estimator (the interval form, value between the lowest detected value m and the measured upper bound y, is used only in the Turnbull sensitivity), not counted as a non-detect. Treating such ranges as non-detects would inflate the censoring rate and discard real measurements; because this distinction changes the reported censoring rate materially, the census tabulates the two sub-counts separately (Section S5).</w:t>
      </w:r>
    </w:p>
    <w:p w14:paraId="2C4B3796" w14:textId="77777777" w:rsidR="007329FD" w:rsidRPr="007329FD" w:rsidRDefault="007329FD" w:rsidP="007329FD">
      <w:pPr>
        <w:spacing w:after="140" w:line="360" w:lineRule="auto"/>
        <w:jc w:val="both"/>
        <w:rPr>
          <w:rFonts w:ascii="Times New Roman" w:hAnsi="Times New Roman" w:cs="Times New Roman"/>
          <w:sz w:val="24"/>
          <w:szCs w:val="24"/>
        </w:rPr>
      </w:pPr>
    </w:p>
    <w:p w14:paraId="5ECEB7B1"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S.2. Harmonisation decision rules applied to each reported value.</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700"/>
        <w:gridCol w:w="3200"/>
        <w:gridCol w:w="5460"/>
      </w:tblGrid>
      <w:tr w:rsidR="003736AD" w:rsidRPr="007329FD" w14:paraId="5ECEB7B5" w14:textId="77777777">
        <w:trPr>
          <w:tblHeader/>
        </w:trPr>
        <w:tc>
          <w:tcPr>
            <w:tcW w:w="700" w:type="dxa"/>
            <w:shd w:val="clear" w:color="auto" w:fill="DCE6F1"/>
            <w:tcMar>
              <w:top w:w="60" w:type="dxa"/>
              <w:left w:w="90" w:type="dxa"/>
              <w:bottom w:w="60" w:type="dxa"/>
              <w:right w:w="90" w:type="dxa"/>
            </w:tcMar>
          </w:tcPr>
          <w:p w14:paraId="5ECEB7B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Rule</w:t>
            </w:r>
          </w:p>
        </w:tc>
        <w:tc>
          <w:tcPr>
            <w:tcW w:w="3200" w:type="dxa"/>
            <w:shd w:val="clear" w:color="auto" w:fill="DCE6F1"/>
            <w:tcMar>
              <w:top w:w="60" w:type="dxa"/>
              <w:left w:w="90" w:type="dxa"/>
              <w:bottom w:w="60" w:type="dxa"/>
              <w:right w:w="90" w:type="dxa"/>
            </w:tcMar>
          </w:tcPr>
          <w:p w14:paraId="5ECEB7B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Reported form</w:t>
            </w:r>
          </w:p>
        </w:tc>
        <w:tc>
          <w:tcPr>
            <w:tcW w:w="5460" w:type="dxa"/>
            <w:shd w:val="clear" w:color="auto" w:fill="DCE6F1"/>
            <w:tcMar>
              <w:top w:w="60" w:type="dxa"/>
              <w:left w:w="90" w:type="dxa"/>
              <w:bottom w:w="60" w:type="dxa"/>
              <w:right w:w="90" w:type="dxa"/>
            </w:tcMar>
          </w:tcPr>
          <w:p w14:paraId="5ECEB7B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Harmonised value</w:t>
            </w:r>
          </w:p>
        </w:tc>
      </w:tr>
      <w:tr w:rsidR="003736AD" w:rsidRPr="007329FD" w14:paraId="5ECEB7B9" w14:textId="77777777">
        <w:tc>
          <w:tcPr>
            <w:tcW w:w="700" w:type="dxa"/>
            <w:tcMar>
              <w:top w:w="60" w:type="dxa"/>
              <w:left w:w="90" w:type="dxa"/>
              <w:bottom w:w="60" w:type="dxa"/>
              <w:right w:w="90" w:type="dxa"/>
            </w:tcMar>
          </w:tcPr>
          <w:p w14:paraId="5ECEB7B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w:t>
            </w:r>
          </w:p>
        </w:tc>
        <w:tc>
          <w:tcPr>
            <w:tcW w:w="3200" w:type="dxa"/>
            <w:tcMar>
              <w:top w:w="60" w:type="dxa"/>
              <w:left w:w="90" w:type="dxa"/>
              <w:bottom w:w="60" w:type="dxa"/>
              <w:right w:w="90" w:type="dxa"/>
            </w:tcMar>
          </w:tcPr>
          <w:p w14:paraId="5ECEB7B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Left-censored value: n.d., &lt;LOQ, &lt;LOD, &lt;DL, &lt;x</w:t>
            </w:r>
          </w:p>
        </w:tc>
        <w:tc>
          <w:tcPr>
            <w:tcW w:w="5460" w:type="dxa"/>
            <w:tcMar>
              <w:top w:w="60" w:type="dxa"/>
              <w:left w:w="90" w:type="dxa"/>
              <w:bottom w:w="60" w:type="dxa"/>
              <w:right w:w="90" w:type="dxa"/>
            </w:tcMar>
          </w:tcPr>
          <w:p w14:paraId="5ECEB7B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Retained as censored. A stated limit x → left-censored at x; a non-detect with no limit → left-censored at the lowest detected value m of the same variable/matrix (Helsel 2012). Concentrations are summarised with censored estimators (Kaplan–Meier primary; Turnbull/DL2 cross-checks), not by substitution. No fixed constant is used.</w:t>
            </w:r>
          </w:p>
        </w:tc>
      </w:tr>
      <w:tr w:rsidR="003736AD" w:rsidRPr="007329FD" w14:paraId="5ECEB7BD" w14:textId="77777777">
        <w:tc>
          <w:tcPr>
            <w:tcW w:w="700" w:type="dxa"/>
            <w:tcMar>
              <w:top w:w="60" w:type="dxa"/>
              <w:left w:w="90" w:type="dxa"/>
              <w:bottom w:w="60" w:type="dxa"/>
              <w:right w:w="90" w:type="dxa"/>
            </w:tcMar>
          </w:tcPr>
          <w:p w14:paraId="5ECEB7B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ii</w:t>
            </w:r>
          </w:p>
        </w:tc>
        <w:tc>
          <w:tcPr>
            <w:tcW w:w="3200" w:type="dxa"/>
            <w:tcMar>
              <w:top w:w="60" w:type="dxa"/>
              <w:left w:w="90" w:type="dxa"/>
              <w:bottom w:w="60" w:type="dxa"/>
              <w:right w:w="90" w:type="dxa"/>
            </w:tcMar>
          </w:tcPr>
          <w:p w14:paraId="5ECEB7B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Range a–b, including a censored floor n.d.–b or &lt;x–b</w:t>
            </w:r>
          </w:p>
        </w:tc>
        <w:tc>
          <w:tcPr>
            <w:tcW w:w="5460" w:type="dxa"/>
            <w:tcMar>
              <w:top w:w="60" w:type="dxa"/>
              <w:left w:w="90" w:type="dxa"/>
              <w:bottom w:w="60" w:type="dxa"/>
              <w:right w:w="90" w:type="dxa"/>
            </w:tcMar>
          </w:tcPr>
          <w:p w14:paraId="5ECEB7B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Detected upper bound present → a detection, entered at its midpoint in the primary Kaplan–Meier estimator. The interval form (n.d.-y and &lt;x-y as interval (m, y) with m the lowest detected value; a-b as (a, b)) is used only in the Turnbull sensitivity.</w:t>
            </w:r>
          </w:p>
        </w:tc>
      </w:tr>
      <w:tr w:rsidR="003736AD" w:rsidRPr="007329FD" w14:paraId="5ECEB7C1" w14:textId="77777777">
        <w:tc>
          <w:tcPr>
            <w:tcW w:w="700" w:type="dxa"/>
            <w:tcMar>
              <w:top w:w="60" w:type="dxa"/>
              <w:left w:w="90" w:type="dxa"/>
              <w:bottom w:w="60" w:type="dxa"/>
              <w:right w:w="90" w:type="dxa"/>
            </w:tcMar>
          </w:tcPr>
          <w:p w14:paraId="5ECEB7B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iii</w:t>
            </w:r>
          </w:p>
        </w:tc>
        <w:tc>
          <w:tcPr>
            <w:tcW w:w="3200" w:type="dxa"/>
            <w:tcMar>
              <w:top w:w="60" w:type="dxa"/>
              <w:left w:w="90" w:type="dxa"/>
              <w:bottom w:w="60" w:type="dxa"/>
              <w:right w:w="90" w:type="dxa"/>
            </w:tcMar>
          </w:tcPr>
          <w:p w14:paraId="5ECEB7B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Right-censored, &gt;x</w:t>
            </w:r>
          </w:p>
        </w:tc>
        <w:tc>
          <w:tcPr>
            <w:tcW w:w="5460" w:type="dxa"/>
            <w:tcMar>
              <w:top w:w="60" w:type="dxa"/>
              <w:left w:w="90" w:type="dxa"/>
              <w:bottom w:w="60" w:type="dxa"/>
              <w:right w:w="90" w:type="dxa"/>
            </w:tcMar>
          </w:tcPr>
          <w:p w14:paraId="5ECEB7C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Conservative lower-bound estimate, x</w:t>
            </w:r>
          </w:p>
        </w:tc>
      </w:tr>
      <w:tr w:rsidR="003736AD" w:rsidRPr="007329FD" w14:paraId="5ECEB7C5" w14:textId="77777777">
        <w:tc>
          <w:tcPr>
            <w:tcW w:w="700" w:type="dxa"/>
            <w:tcMar>
              <w:top w:w="60" w:type="dxa"/>
              <w:left w:w="90" w:type="dxa"/>
              <w:bottom w:w="60" w:type="dxa"/>
              <w:right w:w="90" w:type="dxa"/>
            </w:tcMar>
          </w:tcPr>
          <w:p w14:paraId="5ECEB7C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iv</w:t>
            </w:r>
          </w:p>
        </w:tc>
        <w:tc>
          <w:tcPr>
            <w:tcW w:w="3200" w:type="dxa"/>
            <w:tcMar>
              <w:top w:w="60" w:type="dxa"/>
              <w:left w:w="90" w:type="dxa"/>
              <w:bottom w:w="60" w:type="dxa"/>
              <w:right w:w="90" w:type="dxa"/>
            </w:tcMar>
          </w:tcPr>
          <w:p w14:paraId="5ECEB7C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Approximate or uncertain: ≈x, ~x, x ± SD, x ± SE</w:t>
            </w:r>
          </w:p>
        </w:tc>
        <w:tc>
          <w:tcPr>
            <w:tcW w:w="5460" w:type="dxa"/>
            <w:tcMar>
              <w:top w:w="60" w:type="dxa"/>
              <w:left w:w="90" w:type="dxa"/>
              <w:bottom w:w="60" w:type="dxa"/>
              <w:right w:w="90" w:type="dxa"/>
            </w:tcMar>
          </w:tcPr>
          <w:p w14:paraId="5ECEB7C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Central estimate, x</w:t>
            </w:r>
          </w:p>
        </w:tc>
      </w:tr>
      <w:tr w:rsidR="003736AD" w:rsidRPr="007329FD" w14:paraId="5ECEB7C9" w14:textId="77777777">
        <w:tc>
          <w:tcPr>
            <w:tcW w:w="700" w:type="dxa"/>
            <w:tcMar>
              <w:top w:w="60" w:type="dxa"/>
              <w:left w:w="90" w:type="dxa"/>
              <w:bottom w:w="60" w:type="dxa"/>
              <w:right w:w="90" w:type="dxa"/>
            </w:tcMar>
          </w:tcPr>
          <w:p w14:paraId="5ECEB7C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v</w:t>
            </w:r>
          </w:p>
        </w:tc>
        <w:tc>
          <w:tcPr>
            <w:tcW w:w="3200" w:type="dxa"/>
            <w:tcMar>
              <w:top w:w="60" w:type="dxa"/>
              <w:left w:w="90" w:type="dxa"/>
              <w:bottom w:w="60" w:type="dxa"/>
              <w:right w:w="90" w:type="dxa"/>
            </w:tcMar>
          </w:tcPr>
          <w:p w14:paraId="5ECEB7C7" w14:textId="77777777" w:rsidR="003736AD" w:rsidRPr="007329FD" w:rsidRDefault="00DC2353" w:rsidP="007329FD">
            <w:pPr>
              <w:spacing w:line="360" w:lineRule="auto"/>
              <w:jc w:val="both"/>
              <w:rPr>
                <w:rFonts w:ascii="Times New Roman" w:hAnsi="Times New Roman" w:cs="Times New Roman"/>
                <w:sz w:val="24"/>
                <w:szCs w:val="24"/>
                <w:lang w:val="it-IT"/>
              </w:rPr>
            </w:pPr>
            <w:r w:rsidRPr="007329FD">
              <w:rPr>
                <w:rFonts w:ascii="Times New Roman" w:hAnsi="Times New Roman" w:cs="Times New Roman"/>
                <w:sz w:val="24"/>
                <w:szCs w:val="24"/>
                <w:lang w:val="it-IT"/>
              </w:rPr>
              <w:t>Qualitative extreme (</w:t>
            </w:r>
            <w:r w:rsidRPr="007329FD">
              <w:rPr>
                <w:rFonts w:ascii="Cambria Math" w:hAnsi="Cambria Math" w:cs="Cambria Math"/>
                <w:sz w:val="24"/>
                <w:szCs w:val="24"/>
                <w:lang w:val="it-IT"/>
              </w:rPr>
              <w:t>≫</w:t>
            </w:r>
            <w:r w:rsidRPr="007329FD">
              <w:rPr>
                <w:rFonts w:ascii="Times New Roman" w:hAnsi="Times New Roman" w:cs="Times New Roman"/>
                <w:sz w:val="24"/>
                <w:szCs w:val="24"/>
                <w:lang w:val="it-IT"/>
              </w:rPr>
              <w:t xml:space="preserve">, </w:t>
            </w:r>
            <w:r w:rsidRPr="007329FD">
              <w:rPr>
                <w:rFonts w:ascii="Cambria Math" w:hAnsi="Cambria Math" w:cs="Cambria Math"/>
                <w:sz w:val="24"/>
                <w:szCs w:val="24"/>
                <w:lang w:val="it-IT"/>
              </w:rPr>
              <w:t>≪</w:t>
            </w:r>
            <w:r w:rsidRPr="007329FD">
              <w:rPr>
                <w:rFonts w:ascii="Times New Roman" w:hAnsi="Times New Roman" w:cs="Times New Roman"/>
                <w:sz w:val="24"/>
                <w:szCs w:val="24"/>
                <w:lang w:val="it-IT"/>
              </w:rPr>
              <w:t>), N.A., non-quantitative text, blank</w:t>
            </w:r>
          </w:p>
        </w:tc>
        <w:tc>
          <w:tcPr>
            <w:tcW w:w="5460" w:type="dxa"/>
            <w:tcMar>
              <w:top w:w="60" w:type="dxa"/>
              <w:left w:w="90" w:type="dxa"/>
              <w:bottom w:w="60" w:type="dxa"/>
              <w:right w:w="90" w:type="dxa"/>
            </w:tcMar>
          </w:tcPr>
          <w:p w14:paraId="5ECEB7C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Excluded from the analysis. No such entries occur in the compiled dataset (verified); the rule is retained only as a defensive parser guard.</w:t>
            </w:r>
          </w:p>
        </w:tc>
      </w:tr>
      <w:tr w:rsidR="003736AD" w:rsidRPr="007329FD" w14:paraId="5ECEB7CD" w14:textId="77777777">
        <w:tc>
          <w:tcPr>
            <w:tcW w:w="700" w:type="dxa"/>
            <w:tcMar>
              <w:top w:w="60" w:type="dxa"/>
              <w:left w:w="90" w:type="dxa"/>
              <w:bottom w:w="60" w:type="dxa"/>
              <w:right w:w="90" w:type="dxa"/>
            </w:tcMar>
          </w:tcPr>
          <w:p w14:paraId="5ECEB7C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vi</w:t>
            </w:r>
          </w:p>
        </w:tc>
        <w:tc>
          <w:tcPr>
            <w:tcW w:w="3200" w:type="dxa"/>
            <w:tcMar>
              <w:top w:w="60" w:type="dxa"/>
              <w:left w:w="90" w:type="dxa"/>
              <w:bottom w:w="60" w:type="dxa"/>
              <w:right w:w="90" w:type="dxa"/>
            </w:tcMar>
          </w:tcPr>
          <w:p w14:paraId="5ECEB7C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Concentration reported as 0, standalone or as the lower bound of a range</w:t>
            </w:r>
          </w:p>
        </w:tc>
        <w:tc>
          <w:tcPr>
            <w:tcW w:w="5460" w:type="dxa"/>
            <w:tcMar>
              <w:top w:w="60" w:type="dxa"/>
              <w:left w:w="90" w:type="dxa"/>
              <w:bottom w:w="60" w:type="dxa"/>
              <w:right w:w="90" w:type="dxa"/>
            </w:tcMar>
          </w:tcPr>
          <w:p w14:paraId="5ECEB7C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Treated as a non-detect: a standalone 0 is left-censored at the variable's lowest detected value; a 0 as a range lower bound enters as a censored-floor (interval-censored) range.</w:t>
            </w:r>
          </w:p>
        </w:tc>
      </w:tr>
      <w:tr w:rsidR="003736AD" w:rsidRPr="007329FD" w14:paraId="5ECEB7D1" w14:textId="77777777">
        <w:tc>
          <w:tcPr>
            <w:tcW w:w="700" w:type="dxa"/>
            <w:tcMar>
              <w:top w:w="60" w:type="dxa"/>
              <w:left w:w="90" w:type="dxa"/>
              <w:bottom w:w="60" w:type="dxa"/>
              <w:right w:w="90" w:type="dxa"/>
            </w:tcMar>
          </w:tcPr>
          <w:p w14:paraId="5ECEB7C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vii</w:t>
            </w:r>
          </w:p>
        </w:tc>
        <w:tc>
          <w:tcPr>
            <w:tcW w:w="3200" w:type="dxa"/>
            <w:tcMar>
              <w:top w:w="60" w:type="dxa"/>
              <w:left w:w="90" w:type="dxa"/>
              <w:bottom w:w="60" w:type="dxa"/>
              <w:right w:w="90" w:type="dxa"/>
            </w:tcMar>
          </w:tcPr>
          <w:p w14:paraId="5ECEB7C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Half-life reported as 0 d</w:t>
            </w:r>
          </w:p>
        </w:tc>
        <w:tc>
          <w:tcPr>
            <w:tcW w:w="5460" w:type="dxa"/>
            <w:tcMar>
              <w:top w:w="60" w:type="dxa"/>
              <w:left w:w="90" w:type="dxa"/>
              <w:bottom w:w="60" w:type="dxa"/>
              <w:right w:w="90" w:type="dxa"/>
            </w:tcMar>
          </w:tcPr>
          <w:p w14:paraId="5ECEB7D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Excluded: a half-life of 0 implies an infinite degradation rate and is physically implausible</w:t>
            </w:r>
          </w:p>
        </w:tc>
      </w:tr>
    </w:tbl>
    <w:p w14:paraId="0C94A71D" w14:textId="77777777" w:rsidR="007329FD" w:rsidRDefault="007329FD" w:rsidP="007329FD">
      <w:pPr>
        <w:spacing w:after="140" w:line="360" w:lineRule="auto"/>
        <w:jc w:val="both"/>
        <w:rPr>
          <w:rFonts w:ascii="Times New Roman" w:hAnsi="Times New Roman" w:cs="Times New Roman"/>
          <w:sz w:val="24"/>
          <w:szCs w:val="24"/>
        </w:rPr>
      </w:pPr>
    </w:p>
    <w:p w14:paraId="5ECEB7D2" w14:textId="5CA04C1C"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Rule (i) no longer substitutes a fixed assumed limit for a non-detect. A left-censored value is retained as censored: a value reported with a limit is left-censored at that limit (x), and a non-detect reported without any limit is assigned, separately within each variable and matrix, the lowest detected value m of that same variable as its censoring limit (Helsel, 2012) — never a cross-matrix constant, so a sediment non-detect takes the lowest detected sediment value in µg kg⁻¹ and never an aqueous value. The four concentration variables are then summarised with censored-data estimators (Section S8): the Kaplan–Meier estimator (left-censored nonparametric MLE), with censored-floor ranges treated as detections at their midpoint, as the primary estimate, with a Turnbull interval-censored estimate as a conservative lower-bound sensitivity and DL/2 substitution as a cross-check. All four variables are below 50% censored, the regime in which Helsel's decision rule prescribes these nonparametric estimators. For the physicochemical descriptors and half-lives, where censoring is below ~7% and no limit-free non-detects occur, a stated limit is halved (x/2) and a limit-free non-detect is excluded. The former fixed assumed limit (1 × 10⁻⁴, halved to 5 × 10⁻⁵) is retired; the harmonised tables remain a deterministic function of the raw tables alone.</w:t>
      </w:r>
    </w:p>
    <w:p w14:paraId="5ECEB7D3" w14:textId="3A60545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Rule (vi): A concentration reported as 0 carries the same information as a non-detect — the analyte was not measurably present — and is resolved as a non-detect rather than retained as a measured zero. A standalone 0 is treated as a limit-free non-detect (left-censored at the variable's lowest detected value in the estimator); a 0 forming the lower bound of a range, such as 0–0.197, is treated as a censored-floor range and enters the estimator as interval-censored data between m and 0.197, with m the lowest detected value of the variable. Physicochemical properties are never affected: a logarithm of 0 is a ratio of 1 and is a genuine value.</w:t>
      </w:r>
    </w:p>
    <w:p w14:paraId="2A645C84"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S4b. Module 0 — construction of the harmonised tables</w:t>
      </w:r>
    </w:p>
    <w:p w14:paraId="5ECEB7D5"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Section 2H of the script builds Table_SM_2.5 from Table_SM_2.2 and Table_SM_2.6 from Table_SM_2.3, and is the first module to execute after the input workbook is located.</w:t>
      </w:r>
    </w:p>
    <w:p w14:paraId="3486B78B"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6"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S4b.1 One output row per input row</w:t>
      </w:r>
    </w:p>
    <w:p w14:paraId="5ECEB7D7"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constructor preserves row order and row count exactly: Table_SM_2.6 has one row for every row of Table_SM_2.3, and Table_SM_2.5 one row for every row of Table_SM_2.2, in the same sequence and with the same compound and reference tags. Every harmonised value can therefore be traced to the raw cell that produced it by row number alone, and any divergence between the two tables is a defect rather than a re-ordering. Compound and class labels are carried forward across the blank cells that mark a continued compound block; molecular weight, which is a compound-intrinsic constant reported once per compound in the raw table, is broadcast to every row of that compound so that the record-weighted summaries treat it like the other descriptors.</w:t>
      </w:r>
    </w:p>
    <w:p w14:paraId="2FA095B8"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8"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S4b.2 The parser</w:t>
      </w:r>
    </w:p>
    <w:p w14:paraId="5ECEB7D9" w14:textId="71063B41"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Each non-empty raw cell is passed to one parser that returns the rule applied and the value produced, or a missing value and the reason for exclusion. The parser normalises Unicode dashes and invisible spaces, converts the a × 10ⁿ form to E-notation before any range is tested so that an exponent is never mistaken for a range separator. A range is detected only where a hyphen follows a digit or a closing parenthesis and precedes a number, a sign or a censoring symbol; a censored floor is matched explicitly and its lower bound resolved under rule (i) before the midpoint is taken. Descending ranges are ordered before averaging.</w:t>
      </w:r>
    </w:p>
    <w:p w14:paraId="176FDEB0"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B"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S4b.3 Declared parameters</w:t>
      </w:r>
    </w:p>
    <w:p w14:paraId="5ECEB7DC"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choice that rules (i)–(vii) do not fully determine is exposed as a named constant at the head of the module, reported in the audit, and listed here.</w:t>
      </w:r>
    </w:p>
    <w:p w14:paraId="66FB30BC" w14:textId="77777777" w:rsidR="007329FD" w:rsidRPr="007329FD" w:rsidRDefault="007329FD" w:rsidP="007329FD">
      <w:pPr>
        <w:spacing w:after="140" w:line="360" w:lineRule="auto"/>
        <w:jc w:val="both"/>
        <w:rPr>
          <w:rFonts w:ascii="Times New Roman" w:hAnsi="Times New Roman" w:cs="Times New Roman"/>
          <w:sz w:val="24"/>
          <w:szCs w:val="24"/>
        </w:rPr>
      </w:pPr>
    </w:p>
    <w:p w14:paraId="5ECEB7DD"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S.2b. Declared harmonisation parameters.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21"/>
        <w:gridCol w:w="2100"/>
        <w:gridCol w:w="3839"/>
      </w:tblGrid>
      <w:tr w:rsidR="003736AD" w:rsidRPr="007329FD" w14:paraId="5ECEB7E1" w14:textId="77777777">
        <w:trPr>
          <w:tblHeader/>
        </w:trPr>
        <w:tc>
          <w:tcPr>
            <w:tcW w:w="2900" w:type="dxa"/>
            <w:shd w:val="clear" w:color="auto" w:fill="DCE6F1"/>
            <w:tcMar>
              <w:top w:w="60" w:type="dxa"/>
              <w:left w:w="90" w:type="dxa"/>
              <w:bottom w:w="60" w:type="dxa"/>
              <w:right w:w="90" w:type="dxa"/>
            </w:tcMar>
          </w:tcPr>
          <w:p w14:paraId="5ECEB7D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Parameter</w:t>
            </w:r>
          </w:p>
        </w:tc>
        <w:tc>
          <w:tcPr>
            <w:tcW w:w="1400" w:type="dxa"/>
            <w:shd w:val="clear" w:color="auto" w:fill="DCE6F1"/>
            <w:tcMar>
              <w:top w:w="60" w:type="dxa"/>
              <w:left w:w="90" w:type="dxa"/>
              <w:bottom w:w="60" w:type="dxa"/>
              <w:right w:w="90" w:type="dxa"/>
            </w:tcMar>
          </w:tcPr>
          <w:p w14:paraId="5ECEB7D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Value</w:t>
            </w:r>
          </w:p>
        </w:tc>
        <w:tc>
          <w:tcPr>
            <w:tcW w:w="5060" w:type="dxa"/>
            <w:shd w:val="clear" w:color="auto" w:fill="DCE6F1"/>
            <w:tcMar>
              <w:top w:w="60" w:type="dxa"/>
              <w:left w:w="90" w:type="dxa"/>
              <w:bottom w:w="60" w:type="dxa"/>
              <w:right w:w="90" w:type="dxa"/>
            </w:tcMar>
          </w:tcPr>
          <w:p w14:paraId="5ECEB7E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Meaning</w:t>
            </w:r>
          </w:p>
        </w:tc>
      </w:tr>
      <w:tr w:rsidR="003736AD" w:rsidRPr="007329FD" w14:paraId="5ECEB7E5" w14:textId="77777777">
        <w:tc>
          <w:tcPr>
            <w:tcW w:w="2900" w:type="dxa"/>
            <w:tcMar>
              <w:top w:w="60" w:type="dxa"/>
              <w:left w:w="90" w:type="dxa"/>
              <w:bottom w:w="60" w:type="dxa"/>
              <w:right w:w="90" w:type="dxa"/>
            </w:tcMar>
          </w:tcPr>
          <w:p w14:paraId="5ECEB7E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HARM_ND_LIMIT_WATER</w:t>
            </w:r>
          </w:p>
        </w:tc>
        <w:tc>
          <w:tcPr>
            <w:tcW w:w="1400" w:type="dxa"/>
            <w:tcMar>
              <w:top w:w="60" w:type="dxa"/>
              <w:left w:w="90" w:type="dxa"/>
              <w:bottom w:w="60" w:type="dxa"/>
              <w:right w:w="90" w:type="dxa"/>
            </w:tcMar>
          </w:tcPr>
          <w:p w14:paraId="5ECEB7E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w:t>
            </w:r>
          </w:p>
        </w:tc>
        <w:tc>
          <w:tcPr>
            <w:tcW w:w="5060" w:type="dxa"/>
            <w:tcMar>
              <w:top w:w="60" w:type="dxa"/>
              <w:left w:w="90" w:type="dxa"/>
              <w:bottom w:w="60" w:type="dxa"/>
              <w:right w:w="90" w:type="dxa"/>
            </w:tcMar>
          </w:tcPr>
          <w:p w14:paraId="5ECEB7E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 (was 1e-4). No fixed assumed limit; a no-limit non-detect enters the censored estimator at the lowest detected value of its variable (µg L⁻¹: C_SW, C_HZ, C_GW).</w:t>
            </w:r>
          </w:p>
        </w:tc>
      </w:tr>
      <w:tr w:rsidR="003736AD" w:rsidRPr="007329FD" w14:paraId="5ECEB7E9" w14:textId="77777777">
        <w:tc>
          <w:tcPr>
            <w:tcW w:w="2900" w:type="dxa"/>
            <w:tcMar>
              <w:top w:w="60" w:type="dxa"/>
              <w:left w:w="90" w:type="dxa"/>
              <w:bottom w:w="60" w:type="dxa"/>
              <w:right w:w="90" w:type="dxa"/>
            </w:tcMar>
          </w:tcPr>
          <w:p w14:paraId="5ECEB7E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HARM_ND_LIMIT_SED</w:t>
            </w:r>
          </w:p>
        </w:tc>
        <w:tc>
          <w:tcPr>
            <w:tcW w:w="1400" w:type="dxa"/>
            <w:tcMar>
              <w:top w:w="60" w:type="dxa"/>
              <w:left w:w="90" w:type="dxa"/>
              <w:bottom w:w="60" w:type="dxa"/>
              <w:right w:w="90" w:type="dxa"/>
            </w:tcMar>
          </w:tcPr>
          <w:p w14:paraId="5ECEB7E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w:t>
            </w:r>
          </w:p>
        </w:tc>
        <w:tc>
          <w:tcPr>
            <w:tcW w:w="5060" w:type="dxa"/>
            <w:tcMar>
              <w:top w:w="60" w:type="dxa"/>
              <w:left w:w="90" w:type="dxa"/>
              <w:bottom w:w="60" w:type="dxa"/>
              <w:right w:w="90" w:type="dxa"/>
            </w:tcMar>
          </w:tcPr>
          <w:p w14:paraId="5ECEB7E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RETIRED (was 1e-4). As above for C_SED (µg kg⁻¹).</w:t>
            </w:r>
          </w:p>
        </w:tc>
      </w:tr>
      <w:tr w:rsidR="003736AD" w:rsidRPr="007329FD" w14:paraId="5ECEB7ED" w14:textId="77777777">
        <w:tc>
          <w:tcPr>
            <w:tcW w:w="2900" w:type="dxa"/>
            <w:tcMar>
              <w:top w:w="60" w:type="dxa"/>
              <w:left w:w="90" w:type="dxa"/>
              <w:bottom w:w="60" w:type="dxa"/>
              <w:right w:w="90" w:type="dxa"/>
            </w:tcMar>
          </w:tcPr>
          <w:p w14:paraId="5ECEB7E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Concentration estimator</w:t>
            </w:r>
          </w:p>
        </w:tc>
        <w:tc>
          <w:tcPr>
            <w:tcW w:w="1400" w:type="dxa"/>
            <w:tcMar>
              <w:top w:w="60" w:type="dxa"/>
              <w:left w:w="90" w:type="dxa"/>
              <w:bottom w:w="60" w:type="dxa"/>
              <w:right w:w="90" w:type="dxa"/>
            </w:tcMar>
          </w:tcPr>
          <w:p w14:paraId="5ECEB7E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Kaplan–Meier</w:t>
            </w:r>
          </w:p>
        </w:tc>
        <w:tc>
          <w:tcPr>
            <w:tcW w:w="5060" w:type="dxa"/>
            <w:tcMar>
              <w:top w:w="60" w:type="dxa"/>
              <w:left w:w="90" w:type="dxa"/>
              <w:bottom w:w="60" w:type="dxa"/>
              <w:right w:w="90" w:type="dxa"/>
            </w:tcMar>
          </w:tcPr>
          <w:p w14:paraId="5ECEB7E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Primary: Kaplan–Meier (left-censored NPMLE, survival::survfit); censored-floor ranges as detections at their midpoint. Turnbull (ranges as intervals) is a conservative lower-bound sensitivity; DL/2 and, where NADA is available, robust ROS are cross-checks. By-class estimates require &gt;=3 detections and n&gt;=5, else detection frequency.</w:t>
            </w:r>
          </w:p>
        </w:tc>
      </w:tr>
      <w:tr w:rsidR="003736AD" w:rsidRPr="007329FD" w14:paraId="5ECEB7F1" w14:textId="77777777">
        <w:tc>
          <w:tcPr>
            <w:tcW w:w="2900" w:type="dxa"/>
            <w:tcMar>
              <w:top w:w="60" w:type="dxa"/>
              <w:left w:w="90" w:type="dxa"/>
              <w:bottom w:w="60" w:type="dxa"/>
              <w:right w:w="90" w:type="dxa"/>
            </w:tcMar>
          </w:tcPr>
          <w:p w14:paraId="5ECEB7E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HARM_ND_HL_POLICY</w:t>
            </w:r>
          </w:p>
        </w:tc>
        <w:tc>
          <w:tcPr>
            <w:tcW w:w="1400" w:type="dxa"/>
            <w:tcMar>
              <w:top w:w="60" w:type="dxa"/>
              <w:left w:w="90" w:type="dxa"/>
              <w:bottom w:w="60" w:type="dxa"/>
              <w:right w:w="90" w:type="dxa"/>
            </w:tcMar>
          </w:tcPr>
          <w:p w14:paraId="5ECEB7E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w:t>
            </w:r>
          </w:p>
        </w:tc>
        <w:tc>
          <w:tcPr>
            <w:tcW w:w="5060" w:type="dxa"/>
            <w:tcMar>
              <w:top w:w="60" w:type="dxa"/>
              <w:left w:w="90" w:type="dxa"/>
              <w:bottom w:w="60" w:type="dxa"/>
              <w:right w:w="90" w:type="dxa"/>
            </w:tcMar>
          </w:tcPr>
          <w:p w14:paraId="5ECEB7F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Treatment of a bare non-detect in a half-life column. A concentration limit cannot be transferred to a half-life: “not detected” is a statement about the analyte, not about its persistence, and substituting 5 × 10⁻⁵ would assert a half-life of four seconds. A stated limit is still halved. No entry of this kind occurs in the delivered compilation</w:t>
            </w:r>
          </w:p>
        </w:tc>
      </w:tr>
      <w:tr w:rsidR="003736AD" w:rsidRPr="007329FD" w14:paraId="5ECEB7F5" w14:textId="77777777">
        <w:tc>
          <w:tcPr>
            <w:tcW w:w="2900" w:type="dxa"/>
            <w:tcMar>
              <w:top w:w="60" w:type="dxa"/>
              <w:left w:w="90" w:type="dxa"/>
              <w:bottom w:w="60" w:type="dxa"/>
              <w:right w:w="90" w:type="dxa"/>
            </w:tcMar>
          </w:tcPr>
          <w:p w14:paraId="5ECEB7F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HARM_ND_PROP_POLICY</w:t>
            </w:r>
          </w:p>
        </w:tc>
        <w:tc>
          <w:tcPr>
            <w:tcW w:w="1400" w:type="dxa"/>
            <w:tcMar>
              <w:top w:w="60" w:type="dxa"/>
              <w:left w:w="90" w:type="dxa"/>
              <w:bottom w:w="60" w:type="dxa"/>
              <w:right w:w="90" w:type="dxa"/>
            </w:tcMar>
          </w:tcPr>
          <w:p w14:paraId="5ECEB7F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exclude</w:t>
            </w:r>
          </w:p>
        </w:tc>
        <w:tc>
          <w:tcPr>
            <w:tcW w:w="5060" w:type="dxa"/>
            <w:tcMar>
              <w:top w:w="60" w:type="dxa"/>
              <w:left w:w="90" w:type="dxa"/>
              <w:bottom w:w="60" w:type="dxa"/>
              <w:right w:w="90" w:type="dxa"/>
            </w:tcMar>
          </w:tcPr>
          <w:p w14:paraId="5ECEB7F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Treatment of a bare non-detect in a physicochemical column, for the same reason</w:t>
            </w:r>
          </w:p>
        </w:tc>
      </w:tr>
      <w:tr w:rsidR="003736AD" w:rsidRPr="007329FD" w14:paraId="5ECEB7F9" w14:textId="77777777">
        <w:tc>
          <w:tcPr>
            <w:tcW w:w="2900" w:type="dxa"/>
            <w:tcMar>
              <w:top w:w="60" w:type="dxa"/>
              <w:left w:w="90" w:type="dxa"/>
              <w:bottom w:w="60" w:type="dxa"/>
              <w:right w:w="90" w:type="dxa"/>
            </w:tcMar>
          </w:tcPr>
          <w:p w14:paraId="5ECEB7F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eastAsia="Consolas" w:hAnsi="Times New Roman" w:cs="Times New Roman"/>
                <w:sz w:val="24"/>
                <w:szCs w:val="24"/>
              </w:rPr>
              <w:t>HARM_ZERO_CONC_POLICY</w:t>
            </w:r>
          </w:p>
        </w:tc>
        <w:tc>
          <w:tcPr>
            <w:tcW w:w="1400" w:type="dxa"/>
            <w:tcMar>
              <w:top w:w="60" w:type="dxa"/>
              <w:left w:w="90" w:type="dxa"/>
              <w:bottom w:w="60" w:type="dxa"/>
              <w:right w:w="90" w:type="dxa"/>
            </w:tcMar>
          </w:tcPr>
          <w:p w14:paraId="5ECEB7F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as_nondetect</w:t>
            </w:r>
          </w:p>
        </w:tc>
        <w:tc>
          <w:tcPr>
            <w:tcW w:w="5060" w:type="dxa"/>
            <w:tcMar>
              <w:top w:w="60" w:type="dxa"/>
              <w:left w:w="90" w:type="dxa"/>
              <w:bottom w:w="60" w:type="dxa"/>
              <w:right w:w="90" w:type="dxa"/>
            </w:tcMar>
          </w:tcPr>
          <w:p w14:paraId="5ECEB7F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Rule (vi). A concentration of 0 is resolved under rule (i). Alternatives are retain (keep 0 as a measured value) and exclude</w:t>
            </w:r>
          </w:p>
        </w:tc>
      </w:tr>
      <w:tr w:rsidR="00D765A1" w14:paraId="1450C143" w14:textId="77777777">
        <w:tc>
          <w:tcPr>
            <w:tcW w:w="3421" w:type="dxa"/>
          </w:tcPr>
          <w:p w14:paraId="2466794B" w14:textId="77777777" w:rsidR="00D765A1" w:rsidRDefault="008D2323">
            <w:r>
              <w:t>AGG_CONC_RULE</w:t>
            </w:r>
          </w:p>
        </w:tc>
        <w:tc>
          <w:tcPr>
            <w:tcW w:w="1433" w:type="dxa"/>
          </w:tcPr>
          <w:p w14:paraId="0A47EFEA" w14:textId="77777777" w:rsidR="00D765A1" w:rsidRDefault="008D2323">
            <w:r>
              <w:t>detect_median_keepND</w:t>
            </w:r>
          </w:p>
        </w:tc>
        <w:tc>
          <w:tcPr>
            <w:tcW w:w="4506" w:type="dxa"/>
          </w:tcPr>
          <w:p w14:paraId="04CBAA4B" w14:textId="77777777" w:rsidR="00D765A1" w:rsidRDefault="008D2323">
            <w:r>
              <w:t>Compound-weighted reduction: compound → median of its detected values; all-non-detect compounds RETAINED as left-censored (never deleted); across-compound summary by KM.</w:t>
            </w:r>
          </w:p>
        </w:tc>
      </w:tr>
    </w:tbl>
    <w:p w14:paraId="3176E0FF" w14:textId="77777777" w:rsidR="007329FD" w:rsidRDefault="007329FD" w:rsidP="007329FD">
      <w:pPr>
        <w:spacing w:after="140" w:line="360" w:lineRule="auto"/>
        <w:jc w:val="both"/>
        <w:rPr>
          <w:rFonts w:ascii="Times New Roman" w:hAnsi="Times New Roman" w:cs="Times New Roman"/>
          <w:b/>
          <w:bCs/>
          <w:color w:val="2E5496"/>
          <w:sz w:val="24"/>
          <w:szCs w:val="24"/>
        </w:rPr>
      </w:pPr>
    </w:p>
    <w:p w14:paraId="5ECEB7FA" w14:textId="4D89906F"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S4b.4 The audit and the redirect</w:t>
      </w:r>
    </w:p>
    <w:p w14:paraId="5ECEB7FB" w14:textId="049ABD64" w:rsidR="003736AD" w:rsidRPr="007329FD" w:rsidRDefault="00B67498"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Table_SM_2.4</w:t>
      </w:r>
      <w:r>
        <w:rPr>
          <w:rFonts w:ascii="Times New Roman" w:hAnsi="Times New Roman" w:cs="Times New Roman"/>
          <w:sz w:val="24"/>
          <w:szCs w:val="24"/>
        </w:rPr>
        <w:t>,</w:t>
      </w:r>
      <w:r w:rsidRPr="007329FD">
        <w:rPr>
          <w:rFonts w:ascii="Times New Roman" w:hAnsi="Times New Roman" w:cs="Times New Roman"/>
          <w:sz w:val="24"/>
          <w:szCs w:val="24"/>
        </w:rPr>
        <w:t xml:space="preserve"> </w:t>
      </w:r>
      <w:r w:rsidR="00DC2353" w:rsidRPr="007329FD">
        <w:rPr>
          <w:rFonts w:ascii="Times New Roman" w:hAnsi="Times New Roman" w:cs="Times New Roman"/>
          <w:sz w:val="24"/>
          <w:szCs w:val="24"/>
        </w:rPr>
        <w:t>Table_SM_2.5</w:t>
      </w:r>
      <w:r>
        <w:rPr>
          <w:rFonts w:ascii="Times New Roman" w:hAnsi="Times New Roman" w:cs="Times New Roman"/>
          <w:sz w:val="24"/>
          <w:szCs w:val="24"/>
        </w:rPr>
        <w:t>,</w:t>
      </w:r>
      <w:r w:rsidR="00DC2353" w:rsidRPr="007329FD">
        <w:rPr>
          <w:rFonts w:ascii="Times New Roman" w:hAnsi="Times New Roman" w:cs="Times New Roman"/>
          <w:sz w:val="24"/>
          <w:szCs w:val="24"/>
        </w:rPr>
        <w:t xml:space="preserve"> Table_SM_2.6 </w:t>
      </w:r>
      <w:r>
        <w:rPr>
          <w:rFonts w:ascii="Times New Roman" w:hAnsi="Times New Roman" w:cs="Times New Roman"/>
          <w:sz w:val="24"/>
          <w:szCs w:val="24"/>
        </w:rPr>
        <w:t xml:space="preserve">and </w:t>
      </w:r>
      <w:r w:rsidRPr="007329FD">
        <w:rPr>
          <w:rFonts w:ascii="Times New Roman" w:hAnsi="Times New Roman" w:cs="Times New Roman"/>
          <w:sz w:val="24"/>
          <w:szCs w:val="24"/>
        </w:rPr>
        <w:t>Table_SM_2.7</w:t>
      </w:r>
      <w:r>
        <w:rPr>
          <w:rFonts w:ascii="Times New Roman" w:hAnsi="Times New Roman" w:cs="Times New Roman"/>
          <w:sz w:val="24"/>
          <w:szCs w:val="24"/>
        </w:rPr>
        <w:t xml:space="preserve"> </w:t>
      </w:r>
      <w:r w:rsidR="00DC2353" w:rsidRPr="007329FD">
        <w:rPr>
          <w:rFonts w:ascii="Times New Roman" w:hAnsi="Times New Roman" w:cs="Times New Roman"/>
          <w:sz w:val="24"/>
          <w:szCs w:val="24"/>
        </w:rPr>
        <w:t>are written as standalone workbooks under their own names. Each carries three further sheets: a README stating how it was built, a cell-level harmonisation audit recording for every non-empty raw cell the source row, compound, reference, variable, the entry as written, the rule applied, the value produced and whether it was retained or excluded, and a parameter sheet holding the settings above. The audit travels with the table it belongs to, so the provenance of any single harmonised value can be checked without opening a second file.</w:t>
      </w:r>
    </w:p>
    <w:p w14:paraId="5ECEB7FC"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module then writes SM_2_generated.xlsx, a working copy of the input workbook with the two derived tables inserted and every other sheet carried through unchanged, and re-points the input path at that file. Every subsequent read therefore resolves to generated tables. Because the raw sheets inside the generated workbook are verbatim copies, the censoring assessment and census of Section S5 are computed on exactly the same input as before.</w:t>
      </w:r>
    </w:p>
    <w:p w14:paraId="5ECEB7FD"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section ends with a pre-condition gate. Both derived tables must be present in the generated workbook and must read back with at least one row, or the script stops. A missing harmonised table is thereby reported at the point of failure rather than surfacing hundreds of lines later as an absent object in a downstream module.</w:t>
      </w:r>
    </w:p>
    <w:p w14:paraId="0341D0AE" w14:textId="77777777" w:rsidR="007329FD" w:rsidRPr="007329FD" w:rsidRDefault="007329FD" w:rsidP="007329FD">
      <w:pPr>
        <w:spacing w:after="140" w:line="360" w:lineRule="auto"/>
        <w:jc w:val="both"/>
        <w:rPr>
          <w:rFonts w:ascii="Times New Roman" w:hAnsi="Times New Roman" w:cs="Times New Roman"/>
          <w:sz w:val="24"/>
          <w:szCs w:val="24"/>
        </w:rPr>
      </w:pPr>
    </w:p>
    <w:p w14:paraId="5ECEB7FE"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S5. Module A — censoring assessment and dataset census</w:t>
      </w:r>
    </w:p>
    <w:p w14:paraId="5ECEB7FF"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Working from the raw sheets, the pipeline classifies every cell of every analysis variable into exactly one category — left-censored, right-censored, range/detection, approximate, plain value, or excluded — by applying the rules of Table S.2. The classifier protects scientific-notation exponents before testing for a range separator, so that 2.5×10⁻³ is read as one number and not as a range.</w:t>
      </w:r>
    </w:p>
    <w:p w14:paraId="5ECEB800"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left-censoring rate of a variable is the number of left-censored entries divided by all entries that enter the analysis. Rates are reported per variable, per group and overall. The census extends the same classification to a full count of cells, populated entries and their split across the six categories, per parameter, per group and overall, and reports a column-completeness audit confirming that every analysed variable was located and populated as expected.</w:t>
      </w:r>
    </w:p>
    <w:p w14:paraId="5ECEB801" w14:textId="4ECEC838" w:rsidR="003736AD" w:rsidRDefault="00020610" w:rsidP="007329FD">
      <w:pPr>
        <w:spacing w:after="140" w:line="360" w:lineRule="auto"/>
        <w:jc w:val="both"/>
        <w:rPr>
          <w:rFonts w:ascii="Times New Roman" w:hAnsi="Times New Roman" w:cs="Times New Roman"/>
          <w:sz w:val="24"/>
          <w:szCs w:val="24"/>
        </w:rPr>
      </w:pPr>
      <w:r>
        <w:rPr>
          <w:rFonts w:ascii="Times New Roman" w:hAnsi="Times New Roman" w:cs="Times New Roman"/>
          <w:sz w:val="24"/>
          <w:szCs w:val="24"/>
        </w:rPr>
        <w:t>The census and the constructor share one parser, so a cell classified as left-censored in Table_SM_2.4 is necessarily the cell excluded from the single-value Table_SM_2.6 and passed to the censored estimator under rule (i).</w:t>
      </w:r>
    </w:p>
    <w:p w14:paraId="5911211E" w14:textId="77777777" w:rsidR="00020610" w:rsidRPr="007329FD" w:rsidRDefault="00020610" w:rsidP="007329FD">
      <w:pPr>
        <w:spacing w:after="140" w:line="360" w:lineRule="auto"/>
        <w:jc w:val="both"/>
        <w:rPr>
          <w:rFonts w:ascii="Times New Roman" w:hAnsi="Times New Roman" w:cs="Times New Roman"/>
          <w:sz w:val="24"/>
          <w:szCs w:val="24"/>
        </w:rPr>
      </w:pPr>
    </w:p>
    <w:p w14:paraId="5ECEB802"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S5.1 Fifteen censoring variables and sixteen analysis variables</w:t>
      </w:r>
    </w:p>
    <w:p w14:paraId="5ECEB803" w14:textId="6548E5BF"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censoring assessment and the census are computed over fifteen variables: five physicochemical (pK</w:t>
      </w:r>
      <w:r w:rsidRPr="00020610">
        <w:rPr>
          <w:rFonts w:ascii="Times New Roman" w:hAnsi="Times New Roman" w:cs="Times New Roman"/>
          <w:sz w:val="24"/>
          <w:szCs w:val="24"/>
          <w:vertAlign w:val="subscript"/>
        </w:rPr>
        <w:t>a</w:t>
      </w:r>
      <w:r w:rsidRPr="007329FD">
        <w:rPr>
          <w:rFonts w:ascii="Times New Roman" w:hAnsi="Times New Roman" w:cs="Times New Roman"/>
          <w:sz w:val="24"/>
          <w:szCs w:val="24"/>
        </w:rPr>
        <w:t>, log K</w:t>
      </w:r>
      <w:r w:rsidRPr="00020610">
        <w:rPr>
          <w:rFonts w:ascii="Times New Roman" w:hAnsi="Times New Roman" w:cs="Times New Roman"/>
          <w:sz w:val="24"/>
          <w:szCs w:val="24"/>
          <w:vertAlign w:val="subscript"/>
        </w:rPr>
        <w:t>OW</w:t>
      </w:r>
      <w:r w:rsidRPr="007329FD">
        <w:rPr>
          <w:rFonts w:ascii="Times New Roman" w:hAnsi="Times New Roman" w:cs="Times New Roman"/>
          <w:sz w:val="24"/>
          <w:szCs w:val="24"/>
        </w:rPr>
        <w:t>, log K</w:t>
      </w:r>
      <w:r w:rsidRPr="00020610">
        <w:rPr>
          <w:rFonts w:ascii="Times New Roman" w:hAnsi="Times New Roman" w:cs="Times New Roman"/>
          <w:sz w:val="24"/>
          <w:szCs w:val="24"/>
          <w:vertAlign w:val="subscript"/>
        </w:rPr>
        <w:t>OC</w:t>
      </w:r>
      <w:r w:rsidRPr="007329FD">
        <w:rPr>
          <w:rFonts w:ascii="Times New Roman" w:hAnsi="Times New Roman" w:cs="Times New Roman"/>
          <w:sz w:val="24"/>
          <w:szCs w:val="24"/>
        </w:rPr>
        <w:t>, log D</w:t>
      </w:r>
      <w:r w:rsidRPr="00020610">
        <w:rPr>
          <w:rFonts w:ascii="Times New Roman" w:hAnsi="Times New Roman" w:cs="Times New Roman"/>
          <w:sz w:val="24"/>
          <w:szCs w:val="24"/>
          <w:vertAlign w:val="subscript"/>
        </w:rPr>
        <w:t>OW</w:t>
      </w:r>
      <w:r w:rsidRPr="007329FD">
        <w:rPr>
          <w:rFonts w:ascii="Times New Roman" w:hAnsi="Times New Roman" w:cs="Times New Roman"/>
          <w:sz w:val="24"/>
          <w:szCs w:val="24"/>
        </w:rPr>
        <w:t xml:space="preserve">, log </w:t>
      </w:r>
      <w:r w:rsidRPr="00020610">
        <w:rPr>
          <w:rFonts w:ascii="Times New Roman" w:hAnsi="Times New Roman" w:cs="Times New Roman"/>
          <w:sz w:val="24"/>
          <w:szCs w:val="24"/>
        </w:rPr>
        <w:t>S</w:t>
      </w:r>
      <w:r w:rsidRPr="007329FD">
        <w:rPr>
          <w:rFonts w:ascii="Times New Roman" w:hAnsi="Times New Roman" w:cs="Times New Roman"/>
          <w:sz w:val="24"/>
          <w:szCs w:val="24"/>
        </w:rPr>
        <w:t>) and ten environmental-fate (four concentrations and six half-lives</w:t>
      </w:r>
      <w:r w:rsidR="00020610">
        <w:rPr>
          <w:rFonts w:ascii="Times New Roman" w:hAnsi="Times New Roman" w:cs="Times New Roman"/>
          <w:sz w:val="24"/>
          <w:szCs w:val="24"/>
        </w:rPr>
        <w:t>, t</w:t>
      </w:r>
      <w:r w:rsidR="00020610" w:rsidRPr="00020610">
        <w:rPr>
          <w:rFonts w:ascii="Times New Roman" w:hAnsi="Times New Roman" w:cs="Times New Roman"/>
          <w:sz w:val="24"/>
          <w:szCs w:val="24"/>
          <w:vertAlign w:val="subscript"/>
        </w:rPr>
        <w:t>1/2</w:t>
      </w:r>
      <w:r w:rsidRPr="007329FD">
        <w:rPr>
          <w:rFonts w:ascii="Times New Roman" w:hAnsi="Times New Roman" w:cs="Times New Roman"/>
          <w:sz w:val="24"/>
          <w:szCs w:val="24"/>
        </w:rPr>
        <w:t xml:space="preserve">). Molecular weight </w:t>
      </w:r>
      <w:r w:rsidR="001017EA">
        <w:rPr>
          <w:rFonts w:ascii="Times New Roman" w:hAnsi="Times New Roman" w:cs="Times New Roman"/>
          <w:sz w:val="24"/>
          <w:szCs w:val="24"/>
        </w:rPr>
        <w:t xml:space="preserve">(MW) </w:t>
      </w:r>
      <w:r w:rsidRPr="007329FD">
        <w:rPr>
          <w:rFonts w:ascii="Times New Roman" w:hAnsi="Times New Roman" w:cs="Times New Roman"/>
          <w:sz w:val="24"/>
          <w:szCs w:val="24"/>
        </w:rPr>
        <w:t>is excluded from the census by design: it is a single compound-intrinsic look-up value, repeated down each compound block, which is never reported below a detection limit, so it carries no censoring information and would only inflate the denominator. MW nevertheless remains one of the sixteen analysis variables and is summarised, plotted and regressed in every downstream module.</w:t>
      </w:r>
    </w:p>
    <w:p w14:paraId="5ECEB804"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two counts should be quoted with their scope attached. Statements about the censoring assessment or the census refer to fifteen variables; statements about the analysed descriptor set refer to sixteen. Identifiers, the canonical-SMILES string and the reference tag are not analysis variables and are counted in neither.</w:t>
      </w:r>
    </w:p>
    <w:p w14:paraId="56D8DD2B" w14:textId="77777777" w:rsidR="001017EA" w:rsidRPr="007329FD" w:rsidRDefault="001017EA" w:rsidP="007329FD">
      <w:pPr>
        <w:spacing w:after="140" w:line="360" w:lineRule="auto"/>
        <w:jc w:val="both"/>
        <w:rPr>
          <w:rFonts w:ascii="Times New Roman" w:hAnsi="Times New Roman" w:cs="Times New Roman"/>
          <w:sz w:val="24"/>
          <w:szCs w:val="24"/>
        </w:rPr>
      </w:pPr>
    </w:p>
    <w:p w14:paraId="5ECEB805"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S6. Zero-value policy</w:t>
      </w:r>
    </w:p>
    <w:p w14:paraId="64F24F88" w14:textId="468CEABC" w:rsidR="00AD360E"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Zeros are resolved inside the constructor rather than in a later filter, so all downstream modules receive data to which the policy has already been applied uniformly. </w:t>
      </w:r>
      <w:r w:rsidR="00164774">
        <w:rPr>
          <w:rFonts w:ascii="Times New Roman" w:hAnsi="Times New Roman" w:cs="Times New Roman"/>
          <w:sz w:val="24"/>
          <w:szCs w:val="24"/>
        </w:rPr>
        <w:t>The t</w:t>
      </w:r>
      <w:r w:rsidR="00164774" w:rsidRPr="00164774">
        <w:rPr>
          <w:rFonts w:ascii="Times New Roman" w:hAnsi="Times New Roman" w:cs="Times New Roman"/>
          <w:sz w:val="24"/>
          <w:szCs w:val="24"/>
          <w:vertAlign w:val="subscript"/>
        </w:rPr>
        <w:t>1/2</w:t>
      </w:r>
      <w:r w:rsidRPr="007329FD">
        <w:rPr>
          <w:rFonts w:ascii="Times New Roman" w:hAnsi="Times New Roman" w:cs="Times New Roman"/>
          <w:sz w:val="24"/>
          <w:szCs w:val="24"/>
        </w:rPr>
        <w:t xml:space="preserve"> as exactly 0 d </w:t>
      </w:r>
      <w:r w:rsidR="008348B3" w:rsidRPr="007329FD">
        <w:rPr>
          <w:rFonts w:ascii="Times New Roman" w:hAnsi="Times New Roman" w:cs="Times New Roman"/>
          <w:sz w:val="24"/>
          <w:szCs w:val="24"/>
        </w:rPr>
        <w:t>were not reported in the raw data</w:t>
      </w:r>
      <w:r w:rsidRPr="007329FD">
        <w:rPr>
          <w:rFonts w:ascii="Times New Roman" w:hAnsi="Times New Roman" w:cs="Times New Roman"/>
          <w:sz w:val="24"/>
          <w:szCs w:val="24"/>
        </w:rPr>
        <w:t xml:space="preserve"> as physically implausible</w:t>
      </w:r>
      <w:r w:rsidR="00AD360E" w:rsidRPr="007329FD">
        <w:rPr>
          <w:rFonts w:ascii="Times New Roman" w:hAnsi="Times New Roman" w:cs="Times New Roman"/>
          <w:sz w:val="24"/>
          <w:szCs w:val="24"/>
        </w:rPr>
        <w:t>.</w:t>
      </w:r>
    </w:p>
    <w:p w14:paraId="5ECEB806" w14:textId="42F24FF5"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Concentrations reported as 0 are treated as non-detects and resolved under rule (i): excluded from the single-value point table and entered into the censored estimator at the lowest detected value of the variable, on the reasoning that a reported zero and a reported n.d. convey the same analytical information; the treatment applies equally to a standalone zero and to a zero forming the lower bound of a range. Physicochemical properties, for which 0 is a meaningful value — a logarithm equal to 0 is a ratio of 1 — are never altered.</w:t>
      </w:r>
    </w:p>
    <w:p w14:paraId="5ECEB807" w14:textId="2BB6D868"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 xml:space="preserve">The number of records the policy removes is recorded in the harmonisation_audit sheet of the derived tables and reported in the run integrity census (Section S15), so the figure quoted in the manuscript is confirmed by the run rather than asserted. In the delivered dataset six </w:t>
      </w:r>
      <w:r w:rsidR="00164774">
        <w:rPr>
          <w:rFonts w:ascii="Times New Roman" w:hAnsi="Times New Roman" w:cs="Times New Roman"/>
          <w:sz w:val="24"/>
          <w:szCs w:val="24"/>
        </w:rPr>
        <w:t>t</w:t>
      </w:r>
      <w:r w:rsidR="00164774" w:rsidRPr="00164774">
        <w:rPr>
          <w:rFonts w:ascii="Times New Roman" w:hAnsi="Times New Roman" w:cs="Times New Roman"/>
          <w:sz w:val="24"/>
          <w:szCs w:val="24"/>
          <w:vertAlign w:val="subscript"/>
        </w:rPr>
        <w:t>1/2</w:t>
      </w:r>
      <w:r w:rsidRPr="007329FD">
        <w:rPr>
          <w:rFonts w:ascii="Times New Roman" w:hAnsi="Times New Roman" w:cs="Times New Roman"/>
          <w:sz w:val="24"/>
          <w:szCs w:val="24"/>
        </w:rPr>
        <w:t xml:space="preserve"> records are affected: two hyporheic-zone entries for gabapentin and one for metoprolol, one aerobic and one anoxic entry for carbamazepine, and one anoxic entry for gabapentin.</w:t>
      </w:r>
    </w:p>
    <w:p w14:paraId="5ECEB808"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S7. Below-limit substitution sensitivity analysis</w:t>
      </w:r>
    </w:p>
    <w:p w14:paraId="5ECEB809"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Because several fate sub-datasets are appreciably left-censored — in particular sediment, the hyporheic zone and groundwater, which exceed the 15% level above which simple substitution becomes unreliable (Helsel, 2006, 2012) — the four concentration variables are summarised with censored-data estimators (Section S8), and the older substitution convention is quantified only as a cross-check for every censored fate variable. Each raw cell is parsed into a detected value or a censored entry, and the percentiles (P25, median, P75, P95; type-7) are recomputed under the treatments of Table S.3.</w:t>
      </w:r>
    </w:p>
    <w:p w14:paraId="5ECEB80A" w14:textId="653A5416"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This module is built from the raw table by the same code path. The substitution scenarios bound the older convention using a per-variable lowest-detected proxy and are reported as cross-checks only; the concentration statistics of record are the censored estimates of Section S8.</w:t>
      </w:r>
    </w:p>
    <w:p w14:paraId="120F573B" w14:textId="77777777" w:rsidR="000E1273" w:rsidRPr="007329FD" w:rsidRDefault="000E1273" w:rsidP="007329FD">
      <w:pPr>
        <w:spacing w:after="140" w:line="360" w:lineRule="auto"/>
        <w:jc w:val="both"/>
        <w:rPr>
          <w:rFonts w:ascii="Times New Roman" w:hAnsi="Times New Roman" w:cs="Times New Roman"/>
          <w:sz w:val="24"/>
          <w:szCs w:val="24"/>
        </w:rPr>
      </w:pPr>
    </w:p>
    <w:p w14:paraId="5ECEB80B"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S.3. Below-limit treatments compared in the sensitivity analysis.</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600"/>
        <w:gridCol w:w="4900"/>
        <w:gridCol w:w="1860"/>
      </w:tblGrid>
      <w:tr w:rsidR="003736AD" w:rsidRPr="007329FD" w14:paraId="5ECEB80F" w14:textId="77777777">
        <w:trPr>
          <w:tblHeader/>
        </w:trPr>
        <w:tc>
          <w:tcPr>
            <w:tcW w:w="2600" w:type="dxa"/>
            <w:shd w:val="clear" w:color="auto" w:fill="DCE6F1"/>
            <w:tcMar>
              <w:top w:w="60" w:type="dxa"/>
              <w:left w:w="90" w:type="dxa"/>
              <w:bottom w:w="60" w:type="dxa"/>
              <w:right w:w="90" w:type="dxa"/>
            </w:tcMar>
          </w:tcPr>
          <w:p w14:paraId="5ECEB80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Scenario</w:t>
            </w:r>
          </w:p>
        </w:tc>
        <w:tc>
          <w:tcPr>
            <w:tcW w:w="4900" w:type="dxa"/>
            <w:shd w:val="clear" w:color="auto" w:fill="DCE6F1"/>
            <w:tcMar>
              <w:top w:w="60" w:type="dxa"/>
              <w:left w:w="90" w:type="dxa"/>
              <w:bottom w:w="60" w:type="dxa"/>
              <w:right w:w="90" w:type="dxa"/>
            </w:tcMar>
          </w:tcPr>
          <w:p w14:paraId="5ECEB80D"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Treatment of below-limit data</w:t>
            </w:r>
          </w:p>
        </w:tc>
        <w:tc>
          <w:tcPr>
            <w:tcW w:w="1860" w:type="dxa"/>
            <w:shd w:val="clear" w:color="auto" w:fill="DCE6F1"/>
            <w:tcMar>
              <w:top w:w="60" w:type="dxa"/>
              <w:left w:w="90" w:type="dxa"/>
              <w:bottom w:w="60" w:type="dxa"/>
              <w:right w:w="90" w:type="dxa"/>
            </w:tcMar>
          </w:tcPr>
          <w:p w14:paraId="5ECEB80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Status</w:t>
            </w:r>
          </w:p>
        </w:tc>
      </w:tr>
      <w:tr w:rsidR="003736AD" w:rsidRPr="007329FD" w14:paraId="5ECEB813" w14:textId="77777777">
        <w:tc>
          <w:tcPr>
            <w:tcW w:w="2600" w:type="dxa"/>
            <w:tcMar>
              <w:top w:w="60" w:type="dxa"/>
              <w:left w:w="90" w:type="dxa"/>
              <w:bottom w:w="60" w:type="dxa"/>
              <w:right w:w="90" w:type="dxa"/>
            </w:tcMar>
          </w:tcPr>
          <w:p w14:paraId="5ECEB81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Censored estimator (Kaplan–Meier)</w:t>
            </w:r>
          </w:p>
        </w:tc>
        <w:tc>
          <w:tcPr>
            <w:tcW w:w="4900" w:type="dxa"/>
            <w:tcMar>
              <w:top w:w="60" w:type="dxa"/>
              <w:left w:w="90" w:type="dxa"/>
              <w:bottom w:w="60" w:type="dxa"/>
              <w:right w:w="90" w:type="dxa"/>
            </w:tcMar>
          </w:tcPr>
          <w:p w14:paraId="5ECEB811"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Kaplan–Meier (left-censored NPMLE) as the primary estimate, with censored-floor ranges as detections at their midpoint; a Turnbull interval-censored estimate is reported as a conservative lower-bound sensitivity. No substitution. This is the concentration statistic OF RECORD (the Conc_* sheets of SM_4_fate.xlsx).</w:t>
            </w:r>
          </w:p>
        </w:tc>
        <w:tc>
          <w:tcPr>
            <w:tcW w:w="1860" w:type="dxa"/>
            <w:tcMar>
              <w:top w:w="60" w:type="dxa"/>
              <w:left w:w="90" w:type="dxa"/>
              <w:bottom w:w="60" w:type="dxa"/>
              <w:right w:w="90" w:type="dxa"/>
            </w:tcMar>
          </w:tcPr>
          <w:p w14:paraId="5ECEB81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Reported</w:t>
            </w:r>
          </w:p>
        </w:tc>
      </w:tr>
      <w:tr w:rsidR="003736AD" w:rsidRPr="007329FD" w14:paraId="5ECEB817" w14:textId="77777777">
        <w:tc>
          <w:tcPr>
            <w:tcW w:w="2600" w:type="dxa"/>
            <w:tcMar>
              <w:top w:w="60" w:type="dxa"/>
              <w:left w:w="90" w:type="dxa"/>
              <w:bottom w:w="60" w:type="dxa"/>
              <w:right w:w="90" w:type="dxa"/>
            </w:tcMar>
          </w:tcPr>
          <w:p w14:paraId="5ECEB81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DL/2 substitution</w:t>
            </w:r>
          </w:p>
        </w:tc>
        <w:tc>
          <w:tcPr>
            <w:tcW w:w="4900" w:type="dxa"/>
            <w:tcMar>
              <w:top w:w="60" w:type="dxa"/>
              <w:left w:w="90" w:type="dxa"/>
              <w:bottom w:w="60" w:type="dxa"/>
              <w:right w:w="90" w:type="dxa"/>
            </w:tcMar>
          </w:tcPr>
          <w:p w14:paraId="5ECEB815"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Stated limit halved; a no-limit non-detect takes the lowest detected value of its variable (data-derived, not a fixed constant). Screening cross-check only.</w:t>
            </w:r>
          </w:p>
        </w:tc>
        <w:tc>
          <w:tcPr>
            <w:tcW w:w="1860" w:type="dxa"/>
            <w:tcMar>
              <w:top w:w="60" w:type="dxa"/>
              <w:left w:w="90" w:type="dxa"/>
              <w:bottom w:w="60" w:type="dxa"/>
              <w:right w:w="90" w:type="dxa"/>
            </w:tcMar>
          </w:tcPr>
          <w:p w14:paraId="5ECEB81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Cross-check</w:t>
            </w:r>
          </w:p>
        </w:tc>
      </w:tr>
      <w:tr w:rsidR="003736AD" w:rsidRPr="007329FD" w14:paraId="5ECEB81B" w14:textId="77777777">
        <w:tc>
          <w:tcPr>
            <w:tcW w:w="2600" w:type="dxa"/>
            <w:tcMar>
              <w:top w:w="60" w:type="dxa"/>
              <w:left w:w="90" w:type="dxa"/>
              <w:bottom w:w="60" w:type="dxa"/>
              <w:right w:w="90" w:type="dxa"/>
            </w:tcMar>
          </w:tcPr>
          <w:p w14:paraId="5ECEB81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Full-DL / exclusion</w:t>
            </w:r>
          </w:p>
        </w:tc>
        <w:tc>
          <w:tcPr>
            <w:tcW w:w="4900" w:type="dxa"/>
            <w:tcMar>
              <w:top w:w="60" w:type="dxa"/>
              <w:left w:w="90" w:type="dxa"/>
              <w:bottom w:w="60" w:type="dxa"/>
              <w:right w:w="90" w:type="dxa"/>
            </w:tcMar>
          </w:tcPr>
          <w:p w14:paraId="5ECEB819"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Full-limit substitution and detected-only exclusion, bounding the substitution envelope. Cross-checks only; detected-only deletion is biased upward and is not used for any reported statistic.</w:t>
            </w:r>
          </w:p>
        </w:tc>
        <w:tc>
          <w:tcPr>
            <w:tcW w:w="1860" w:type="dxa"/>
            <w:tcMar>
              <w:top w:w="60" w:type="dxa"/>
              <w:left w:w="90" w:type="dxa"/>
              <w:bottom w:w="60" w:type="dxa"/>
              <w:right w:w="90" w:type="dxa"/>
            </w:tcMar>
          </w:tcPr>
          <w:p w14:paraId="5ECEB81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Cross-check</w:t>
            </w:r>
          </w:p>
        </w:tc>
      </w:tr>
    </w:tbl>
    <w:p w14:paraId="0F326868" w14:textId="77777777" w:rsidR="000E1273" w:rsidRDefault="000E1273" w:rsidP="007329FD">
      <w:pPr>
        <w:spacing w:after="140" w:line="360" w:lineRule="auto"/>
        <w:jc w:val="both"/>
        <w:rPr>
          <w:rFonts w:ascii="Times New Roman" w:hAnsi="Times New Roman" w:cs="Times New Roman"/>
          <w:sz w:val="24"/>
          <w:szCs w:val="24"/>
        </w:rPr>
      </w:pPr>
    </w:p>
    <w:p w14:paraId="5ECEB81C" w14:textId="719228C1"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reported concentration statistics are the censored estimates (Section S8; Kaplan–Meier primary, with censored-floor ranges as detections at their midpoint; a Turnbull interval-censored estimate as a conservative lower-bound sensitivity and DL/2 as a screening cross-check). The substitution scenarios here bound the older convention and are read against the censored estimate: a small difference indicates a robust estimate, a large difference a summary governed by the non-detect treatment, which is then reported descriptively rather than as a point estimate. A variable whose scenarios are identical has no censored entries, a built-in confirmation. Properties are excluded from this module by design: they are not detection-limited, their values can be negative, which invalidates the range parser, and their raw left-censoring is negligible.</w:t>
      </w:r>
    </w:p>
    <w:p w14:paraId="77F18604" w14:textId="77777777" w:rsidR="00520B76" w:rsidRPr="007329FD" w:rsidRDefault="00520B76" w:rsidP="007329FD">
      <w:pPr>
        <w:spacing w:after="140" w:line="360" w:lineRule="auto"/>
        <w:jc w:val="both"/>
        <w:rPr>
          <w:rFonts w:ascii="Times New Roman" w:hAnsi="Times New Roman" w:cs="Times New Roman"/>
          <w:sz w:val="24"/>
          <w:szCs w:val="24"/>
        </w:rPr>
      </w:pPr>
    </w:p>
    <w:p w14:paraId="5ECEB81D"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S8. Descriptive statistics: two weighting schemes</w:t>
      </w:r>
    </w:p>
    <w:p w14:paraId="5ECEB81E"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For each variable the pipeline computes the mean, standard deviation, median and the 25th, 75th and 95th percentiles (type-7 quantiles), implemented to be robust to missing and non-finite values: an empty group returns a missing value and never a spreadsheet error, and a group with a single observation returns identical median and percentiles. Therapeutic-class labels are forced to one canonical spelling before grouping, so that class-level statistics, figures and screening tables cannot diverge through a label variant. The four concentration variables (C_SW, C_HZ, C_SED, C_GW) are the exception: they are summarised with censored-data estimators rather than this engine. The Kaplan–Meier estimator (left-censored nonparametric MLE via survival::survfit), with censored-floor ranges treated as detections at their midpoint, is the primary estimate; a Turnbull interval-censored estimate (the same ranges entered as intervals) is reported as a conservative lower-bound sensitivity, and DL/2 substitution — with robust ROS (NADA::ros) where that package is available — as further cross-checks, with the mean from EnvStats::enparCensored where available. Non-detects without a reported limit take the lowest detected value of their variable as the censoring limit. Class-level and compound-level statistics are estimated only where the group has at least three detections and at least five records; sparser groups are reported by detection frequency. In the compound-weighted (AGG) scheme each compound is reduced to the median of its detected values and all-non-detect compounds are retained as left-censored rather than deleted, so non-detects are never discarded. These estimates are written into SM_4_fate.xlsx as the Conc_* sheets (Conc_Estimates for the overall record-weighted and compound-weighted statistics, Conc_By_class, Conc_By_compound, Conc_Detection for detection frequencies, and Conc_Notes) and are the concentration statistics of record. The point-table concentration descriptive statistics are not produced, because they exclude the censored-floor ranges and are upward-biased; SM_4_fate therefore holds the valid half-life descriptive statistics (Harmonized_*/AGG_* sheets) alongside the censored concentration sheets. SM_3 and the half-life statistics are produced by the engine described here.</w:t>
      </w:r>
    </w:p>
    <w:p w14:paraId="5ECEB81F"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harmonised scheme (HAR) treats every compiled record as one observation and therefore reflects reporting effort; the compound-weighted scheme (AGG) reduces each compound to its median before aggregation and therefore reflects the chemical space. The two are reported side by side throughout, because they estimate different quantities: HAR approximates exposure as encountered in the literature, AGG approximates hazard ranking across compounds.</w:t>
      </w:r>
    </w:p>
    <w:p w14:paraId="6E375E60" w14:textId="77777777" w:rsidR="00C733D5" w:rsidRPr="007329FD" w:rsidRDefault="00C733D5" w:rsidP="007329FD">
      <w:pPr>
        <w:spacing w:after="140" w:line="360" w:lineRule="auto"/>
        <w:jc w:val="both"/>
        <w:rPr>
          <w:rFonts w:ascii="Times New Roman" w:hAnsi="Times New Roman" w:cs="Times New Roman"/>
          <w:sz w:val="24"/>
          <w:szCs w:val="24"/>
        </w:rPr>
      </w:pPr>
    </w:p>
    <w:p w14:paraId="5ECEB820"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S9. Figures</w:t>
      </w:r>
    </w:p>
    <w:p w14:paraId="5ECEB821"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All boxplot figures are generated from the same harmonised objects that produce the tables, with the compound-weighted and record-weighted versions produced from one function so that they cannot diverge. A fixed seed is set for the label-repulsion layout of the synthesis figures so that repeated runs are pixel-identical; the seed is stated in the script.</w:t>
      </w:r>
    </w:p>
    <w:p w14:paraId="5ECEB822"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Axis scaling follows the spread of the variable rather than its category. In the overall and overview environmental-fate figures both concentrations and half-lives are plotted on a log₁₀ axis. Concentrations span roughly ten orders of magnitude and were already logarithmic; half-lives span more than four, from hours in the hyporheic zone to years in sediment, and on a linear axis every distribution below about 100 d collapses onto the origin while only the sediment tail remains legible. Plotting both on the same scale convention also makes the two panel groups of a fate figure directly comparable.</w:t>
      </w:r>
    </w:p>
    <w:p w14:paraId="5ECEB823"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transformation is applied to the graphics only. The descriptive statistics of SM_3 and SM_4 are computed on untransformed values throughout, so a median or percentile read from a table is the quantity in its reported units and is not a back-transformed logarithm. Three figure categories are deliberately left on a linear axis: the physicochemical properties figures at all three levels, because their values are already logarithms or bounded quantities; the per-compound fate figures, where the within-compound range is narrow and a log axis would suppress the differences the figure exists to show; and the synthesis figures, whose scales are set by their own construction.</w:t>
      </w:r>
    </w:p>
    <w:p w14:paraId="403601D5" w14:textId="77777777" w:rsidR="006C6198" w:rsidRPr="007329FD" w:rsidRDefault="006C6198" w:rsidP="007329FD">
      <w:pPr>
        <w:spacing w:after="140" w:line="360" w:lineRule="auto"/>
        <w:jc w:val="both"/>
        <w:rPr>
          <w:rFonts w:ascii="Times New Roman" w:hAnsi="Times New Roman" w:cs="Times New Roman"/>
          <w:sz w:val="24"/>
          <w:szCs w:val="24"/>
        </w:rPr>
      </w:pPr>
    </w:p>
    <w:p w14:paraId="5ECEB82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S10. Compound-level property–persistence regressions</w:t>
      </w:r>
    </w:p>
    <w:p w14:paraId="5ECEB825"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S10.1 Primary fit</w:t>
      </w:r>
    </w:p>
    <w:p w14:paraId="5ECEB826"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Thirty ordinary-least-squares models are fitted (six half-life responses × five molecular predictors) on compound medians, so that each compound is one observation and heavily studied compounds cannot dominate the fit. Sample size, slope, standard error, 95% confidence interval, coefficient of determination and p-value are reported for every model in Table_SM_2.8.</w:t>
      </w:r>
    </w:p>
    <w:p w14:paraId="5ECEB827"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untransformed fits are reported as primary because their slopes are interpretable in days per predictor unit, but they are descriptive only: residuals are non-normal in the surface-water and sediment models, and the fitted lines return negative half-lives for predictor values at the lower end of the observed range. They must not be used for prediction.</w:t>
      </w:r>
    </w:p>
    <w:p w14:paraId="26282220" w14:textId="77777777" w:rsidR="006C6198" w:rsidRPr="007329FD" w:rsidRDefault="006C6198" w:rsidP="007329FD">
      <w:pPr>
        <w:spacing w:after="140" w:line="360" w:lineRule="auto"/>
        <w:jc w:val="both"/>
        <w:rPr>
          <w:rFonts w:ascii="Times New Roman" w:hAnsi="Times New Roman" w:cs="Times New Roman"/>
          <w:sz w:val="24"/>
          <w:szCs w:val="24"/>
        </w:rPr>
      </w:pPr>
    </w:p>
    <w:p w14:paraId="5ECEB828"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S10.2 Diagnostics carried with every model</w:t>
      </w:r>
    </w:p>
    <w:p w14:paraId="5ECEB829"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model carries Spearman’s rank correlation, which is invariant to monotone transformation, and the Shapiro–Wilk p-value of its residuals. A Bonferroni column reports which pooled models survive α = 0.05/30 = 0.0017; the threshold is an interpretive guard, not a filter, and models significant only at the uncorrected α = 0.05 are labelled as such.</w:t>
      </w:r>
    </w:p>
    <w:p w14:paraId="7E108A0B" w14:textId="77777777" w:rsidR="006C6198" w:rsidRPr="007329FD" w:rsidRDefault="006C6198" w:rsidP="007329FD">
      <w:pPr>
        <w:spacing w:after="140" w:line="360" w:lineRule="auto"/>
        <w:jc w:val="both"/>
        <w:rPr>
          <w:rFonts w:ascii="Times New Roman" w:hAnsi="Times New Roman" w:cs="Times New Roman"/>
          <w:sz w:val="24"/>
          <w:szCs w:val="24"/>
        </w:rPr>
      </w:pPr>
    </w:p>
    <w:p w14:paraId="5ECEB82A"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S10.3 Log-transformation sensitivity</w:t>
      </w:r>
    </w:p>
    <w:p w14:paraId="5ECEB82B"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All thirty models are refitted on log₁₀ of the response. Residual normality is restored in nine of the ten surface-water and sediment models but not in the anoxic models, four of which remain non-normal; the transformed fits, the rank correlations and the residual diagnostics for all thirty models are tabulated alongside the untransformed results.</w:t>
      </w:r>
    </w:p>
    <w:p w14:paraId="57A1ACA1" w14:textId="77777777" w:rsidR="002D6E52" w:rsidRPr="007329FD" w:rsidRDefault="002D6E52" w:rsidP="007329FD">
      <w:pPr>
        <w:spacing w:after="140" w:line="360" w:lineRule="auto"/>
        <w:jc w:val="both"/>
        <w:rPr>
          <w:rFonts w:ascii="Times New Roman" w:hAnsi="Times New Roman" w:cs="Times New Roman"/>
          <w:sz w:val="24"/>
          <w:szCs w:val="24"/>
        </w:rPr>
      </w:pPr>
    </w:p>
    <w:p w14:paraId="5ECEB82C"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S11. Persistence screening and its sensitivity modules</w:t>
      </w:r>
    </w:p>
    <w:p w14:paraId="5ECEB82D"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S11.1 Screening and EPI Suite estimate sensitivity</w:t>
      </w:r>
    </w:p>
    <w:p w14:paraId="5ECEB82E"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REACH Annex XIII P/vP criteria are applied to compound-level half-life medians, first on the pooled data and then after removing all database-derived (EPI Suite) estimates, so that the dependence of every flag on modelled input is explicit.</w:t>
      </w:r>
    </w:p>
    <w:p w14:paraId="73FD55C3" w14:textId="77777777" w:rsidR="002D6E52" w:rsidRPr="007329FD" w:rsidRDefault="002D6E52" w:rsidP="007329FD">
      <w:pPr>
        <w:spacing w:after="140" w:line="360" w:lineRule="auto"/>
        <w:jc w:val="both"/>
        <w:rPr>
          <w:rFonts w:ascii="Times New Roman" w:hAnsi="Times New Roman" w:cs="Times New Roman"/>
          <w:sz w:val="24"/>
          <w:szCs w:val="24"/>
        </w:rPr>
      </w:pPr>
    </w:p>
    <w:p w14:paraId="5ECEB82F"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S11.2 Study-level aggregation sensitivity</w:t>
      </w:r>
    </w:p>
    <w:p w14:paraId="5ECEB830"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Records are reduced to one value per study before the compound median is taken, so that a compound whose flag rests on repeated measurements from a single study is distinguished from one supported by independent studies. The number of records and the number of independent studies behind every flag are reported.</w:t>
      </w:r>
    </w:p>
    <w:p w14:paraId="26EA5762"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1"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S11.3 Measured-only regressions</w:t>
      </w:r>
    </w:p>
    <w:p w14:paraId="5ECEB832"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thirty models are refitted on measured data alone, so that the contribution of estimated half-lives to every reported relationship can be read directly.</w:t>
      </w:r>
    </w:p>
    <w:p w14:paraId="7FE2406E"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3"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S12. Synthesis figures for the main text</w:t>
      </w:r>
    </w:p>
    <w:p w14:paraId="5ECEB834"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Two synthesis figures are generated from the same objects as the tables, with no separate data preparation.</w:t>
      </w:r>
    </w:p>
    <w:p w14:paraId="08CA555A"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5" w14:textId="28DD034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 xml:space="preserve">S13. </w:t>
      </w:r>
      <w:r w:rsidR="00CA1A06">
        <w:rPr>
          <w:rFonts w:ascii="Times New Roman" w:hAnsi="Times New Roman" w:cs="Times New Roman"/>
          <w:b/>
          <w:bCs/>
          <w:color w:val="1F3864"/>
          <w:sz w:val="24"/>
          <w:szCs w:val="24"/>
        </w:rPr>
        <w:t>M</w:t>
      </w:r>
      <w:r w:rsidRPr="007329FD">
        <w:rPr>
          <w:rFonts w:ascii="Times New Roman" w:hAnsi="Times New Roman" w:cs="Times New Roman"/>
          <w:b/>
          <w:bCs/>
          <w:color w:val="1F3864"/>
          <w:sz w:val="24"/>
          <w:szCs w:val="24"/>
        </w:rPr>
        <w:t>anuscript narrative numbers</w:t>
      </w:r>
    </w:p>
    <w:p w14:paraId="5ECEB836"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S13.1 Study counts, bibliometrics and reference integrity</w:t>
      </w:r>
    </w:p>
    <w:p w14:paraId="5ECEB837"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Study counts, geographic distribution and the reference join between the data sheets and Table_SM_2.1 are recomputed and reported, so that every count quoted in the narrative is produced by the run.</w:t>
      </w:r>
    </w:p>
    <w:p w14:paraId="66A4A91B"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8"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S13.2 Regulatory P/M/B screening appendix</w:t>
      </w:r>
    </w:p>
    <w:p w14:paraId="5ECEB839"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CLP 2023/707 mobility criteria and EMA Phase I and Phase II bioaccumulation triggers are applied across all compounds and reported with the counts quoted in the manuscript.</w:t>
      </w:r>
    </w:p>
    <w:p w14:paraId="6C6FE2BB"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A"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S13.3 Provenance of the mobility and bioaccumulation axes</w:t>
      </w:r>
    </w:p>
    <w:p w14:paraId="5ECEB83B"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estimate-sensitivity test applied to half-lives is extended to the mobility and bioaccumulation axes: for every compound the module reports how many log K</w:t>
      </w:r>
      <w:r w:rsidRPr="00CA1A06">
        <w:rPr>
          <w:rFonts w:ascii="Times New Roman" w:hAnsi="Times New Roman" w:cs="Times New Roman"/>
          <w:sz w:val="24"/>
          <w:szCs w:val="24"/>
          <w:vertAlign w:val="subscript"/>
        </w:rPr>
        <w:t>OC</w:t>
      </w:r>
      <w:r w:rsidRPr="007329FD">
        <w:rPr>
          <w:rFonts w:ascii="Times New Roman" w:hAnsi="Times New Roman" w:cs="Times New Roman"/>
          <w:sz w:val="24"/>
          <w:szCs w:val="24"/>
        </w:rPr>
        <w:t>, log K</w:t>
      </w:r>
      <w:r w:rsidRPr="00CA1A06">
        <w:rPr>
          <w:rFonts w:ascii="Times New Roman" w:hAnsi="Times New Roman" w:cs="Times New Roman"/>
          <w:sz w:val="24"/>
          <w:szCs w:val="24"/>
          <w:vertAlign w:val="subscript"/>
        </w:rPr>
        <w:t>OW</w:t>
      </w:r>
      <w:r w:rsidRPr="007329FD">
        <w:rPr>
          <w:rFonts w:ascii="Times New Roman" w:hAnsi="Times New Roman" w:cs="Times New Roman"/>
          <w:sz w:val="24"/>
          <w:szCs w:val="24"/>
        </w:rPr>
        <w:t xml:space="preserve"> and log D</w:t>
      </w:r>
      <w:r w:rsidRPr="00CA1A06">
        <w:rPr>
          <w:rFonts w:ascii="Times New Roman" w:hAnsi="Times New Roman" w:cs="Times New Roman"/>
          <w:sz w:val="24"/>
          <w:szCs w:val="24"/>
          <w:vertAlign w:val="subscript"/>
        </w:rPr>
        <w:t>OW</w:t>
      </w:r>
      <w:r w:rsidRPr="007329FD">
        <w:rPr>
          <w:rFonts w:ascii="Times New Roman" w:hAnsi="Times New Roman" w:cs="Times New Roman"/>
          <w:sz w:val="24"/>
          <w:szCs w:val="24"/>
        </w:rPr>
        <w:t xml:space="preserve"> records are measured and how many are database-derived, whether the triggering descriptor has any measured support, and how the classification changes when database-derived values are removed.</w:t>
      </w:r>
    </w:p>
    <w:p w14:paraId="3299655D" w14:textId="77777777" w:rsidR="00CA1A06" w:rsidRPr="007329FD" w:rsidRDefault="00CA1A06" w:rsidP="007329FD">
      <w:pPr>
        <w:spacing w:after="140" w:line="360" w:lineRule="auto"/>
        <w:jc w:val="both"/>
        <w:rPr>
          <w:rFonts w:ascii="Times New Roman" w:hAnsi="Times New Roman" w:cs="Times New Roman"/>
          <w:sz w:val="24"/>
          <w:szCs w:val="24"/>
        </w:rPr>
      </w:pPr>
    </w:p>
    <w:p w14:paraId="5ECEB83C"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S14. Provenance module: data lineage and half-life ratio analyses</w:t>
      </w:r>
    </w:p>
    <w:p w14:paraId="5ECEB83D"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S14.1 Long-format lineage table</w:t>
      </w:r>
    </w:p>
    <w:p w14:paraId="5ECEB83E"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half-life data are reshaped to long format, one record per row, annotated by compound, therapeutic class, compartment or condition, source and provenance class.</w:t>
      </w:r>
    </w:p>
    <w:p w14:paraId="5ECEB83F"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S14.2 Provenance assignment</w:t>
      </w:r>
    </w:p>
    <w:p w14:paraId="5ECEB840"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Each source study is assigned one provenance class from its design: field-derived for in-situ environmental measurements, laboratory-derived for controlled-redox incubations or column experiments, and database-derived for EPI Suite estimates. The assignment is read from Table_SM_2.1; where an external corrected classification file is present beside the workbook its values take precedence, and the source actually used is reported in the run log.</w:t>
      </w:r>
    </w:p>
    <w:p w14:paraId="5ECEB841"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Field-derived includes attenuation rates fitted to field time series as well as directly observed dissipation. Such values carry model assumptions of their own, and the single largest field half-life in the compilation should be read with that in mind.</w:t>
      </w:r>
    </w:p>
    <w:p w14:paraId="5ECEB842"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S14.3 The five ratio analyses</w:t>
      </w:r>
    </w:p>
    <w:p w14:paraId="5ECEB843"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Five paired analyses are computed: laboratory versus field by compound and by compound–compartment pair, measured versus estimated by comparison and pooled by pair, and the estimate ratio for compounds carrying both. Ratios are computed only where both members of a pair exist, and the number of pairs is reported with every median and interquartile range.</w:t>
      </w:r>
    </w:p>
    <w:p w14:paraId="41D9C7C1"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4"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S15. Warning policy, data-integrity audit and run integrity census</w:t>
      </w:r>
    </w:p>
    <w:p w14:paraId="5ECEB845"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S15.1 Warnings are not suppressed</w:t>
      </w:r>
    </w:p>
    <w:p w14:paraId="5ECEB846"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Warnings surface immediately rather than at the end of the run, so that the module that produced them is identifiable.</w:t>
      </w:r>
    </w:p>
    <w:p w14:paraId="5ECEB847"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S15.2 Data-integrity audit</w:t>
      </w:r>
    </w:p>
    <w:p w14:paraId="5ECEB848"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Every non-empty cell of the analysis columns of the generated harmonised tables must parse to a number; any that does not is logged and reported, so a silent missing value can never enter a published statistic.</w:t>
      </w:r>
    </w:p>
    <w:p w14:paraId="2302811D"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9"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S15.3 Rule-conformance audit</w:t>
      </w:r>
    </w:p>
    <w:p w14:paraId="5ECEB84A" w14:textId="322003E9"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Because the harmonised tables are generated, conformance to the rules of Table S.2 is guaranteed by construction rather than asserted, and the harmonisation_audit sheet inside each derived table exposes the rule applied to every cell for inspection. The parse check of Section S15.2 confirms that a value is a number; the harmonisation_audit sheet confirms that it is the right number.</w:t>
      </w:r>
    </w:p>
    <w:p w14:paraId="4CE535FA"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B" w14:textId="77777777" w:rsidR="003736AD" w:rsidRPr="007329FD" w:rsidRDefault="00DC2353" w:rsidP="007329FD">
      <w:pPr>
        <w:pStyle w:val="Heading2"/>
        <w:spacing w:before="220" w:after="110" w:line="360" w:lineRule="auto"/>
        <w:jc w:val="both"/>
        <w:rPr>
          <w:rFonts w:ascii="Times New Roman" w:hAnsi="Times New Roman" w:cs="Times New Roman"/>
          <w:sz w:val="24"/>
          <w:szCs w:val="24"/>
        </w:rPr>
      </w:pPr>
      <w:r w:rsidRPr="007329FD">
        <w:rPr>
          <w:rFonts w:ascii="Times New Roman" w:hAnsi="Times New Roman" w:cs="Times New Roman"/>
          <w:b/>
          <w:bCs/>
          <w:color w:val="2E5496"/>
          <w:sz w:val="24"/>
          <w:szCs w:val="24"/>
        </w:rPr>
        <w:t>S15.4 Run integrity census</w:t>
      </w:r>
    </w:p>
    <w:p w14:paraId="5ECEB84C"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run reports the number of rows read from each sheet, the number of values retained and excluded per variable, the number of records removed by the zero policy, and the number of compounds and studies entering each module.</w:t>
      </w:r>
    </w:p>
    <w:p w14:paraId="188FC49F" w14:textId="77777777" w:rsidR="00CA1A06" w:rsidRPr="007329FD" w:rsidRDefault="00CA1A06" w:rsidP="007329FD">
      <w:pPr>
        <w:spacing w:after="140" w:line="360" w:lineRule="auto"/>
        <w:jc w:val="both"/>
        <w:rPr>
          <w:rFonts w:ascii="Times New Roman" w:hAnsi="Times New Roman" w:cs="Times New Roman"/>
          <w:sz w:val="24"/>
          <w:szCs w:val="24"/>
        </w:rPr>
      </w:pPr>
    </w:p>
    <w:p w14:paraId="5ECEB84D" w14:textId="77777777"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S16. Outputs</w:t>
      </w:r>
    </w:p>
    <w:p w14:paraId="5ECEB84E" w14:textId="77777777" w:rsidR="003736AD" w:rsidRPr="007329FD" w:rsidRDefault="00DC2353" w:rsidP="007329FD">
      <w:pPr>
        <w:spacing w:before="120" w:after="90" w:line="360" w:lineRule="auto"/>
        <w:jc w:val="both"/>
        <w:rPr>
          <w:rFonts w:ascii="Times New Roman" w:hAnsi="Times New Roman" w:cs="Times New Roman"/>
          <w:sz w:val="24"/>
          <w:szCs w:val="24"/>
        </w:rPr>
      </w:pPr>
      <w:r w:rsidRPr="007329FD">
        <w:rPr>
          <w:rFonts w:ascii="Times New Roman" w:hAnsi="Times New Roman" w:cs="Times New Roman"/>
          <w:i/>
          <w:iCs/>
          <w:sz w:val="24"/>
          <w:szCs w:val="24"/>
        </w:rPr>
        <w:t>Table S.4. Files written by one execution.</w:t>
      </w:r>
    </w:p>
    <w:tbl>
      <w:tblPr>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200"/>
        <w:gridCol w:w="6160"/>
      </w:tblGrid>
      <w:tr w:rsidR="003736AD" w:rsidRPr="007329FD" w14:paraId="5ECEB851" w14:textId="77777777">
        <w:trPr>
          <w:tblHeader/>
        </w:trPr>
        <w:tc>
          <w:tcPr>
            <w:tcW w:w="3200" w:type="dxa"/>
            <w:shd w:val="clear" w:color="auto" w:fill="DCE6F1"/>
            <w:tcMar>
              <w:top w:w="60" w:type="dxa"/>
              <w:left w:w="90" w:type="dxa"/>
              <w:bottom w:w="60" w:type="dxa"/>
              <w:right w:w="90" w:type="dxa"/>
            </w:tcMar>
          </w:tcPr>
          <w:p w14:paraId="5ECEB84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File</w:t>
            </w:r>
          </w:p>
        </w:tc>
        <w:tc>
          <w:tcPr>
            <w:tcW w:w="6160" w:type="dxa"/>
            <w:shd w:val="clear" w:color="auto" w:fill="DCE6F1"/>
            <w:tcMar>
              <w:top w:w="60" w:type="dxa"/>
              <w:left w:w="90" w:type="dxa"/>
              <w:bottom w:w="60" w:type="dxa"/>
              <w:right w:w="90" w:type="dxa"/>
            </w:tcMar>
          </w:tcPr>
          <w:p w14:paraId="5ECEB85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b/>
                <w:bCs/>
                <w:sz w:val="24"/>
                <w:szCs w:val="24"/>
              </w:rPr>
              <w:t>Content</w:t>
            </w:r>
          </w:p>
        </w:tc>
      </w:tr>
      <w:tr w:rsidR="003736AD" w:rsidRPr="007329FD" w14:paraId="5ECEB854" w14:textId="77777777">
        <w:tc>
          <w:tcPr>
            <w:tcW w:w="3200" w:type="dxa"/>
            <w:tcMar>
              <w:top w:w="60" w:type="dxa"/>
              <w:left w:w="90" w:type="dxa"/>
              <w:bottom w:w="60" w:type="dxa"/>
              <w:right w:w="90" w:type="dxa"/>
            </w:tcMar>
          </w:tcPr>
          <w:p w14:paraId="5ECEB85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Table_SM_2.5.xlsx</w:t>
            </w:r>
          </w:p>
        </w:tc>
        <w:tc>
          <w:tcPr>
            <w:tcW w:w="6160" w:type="dxa"/>
            <w:tcMar>
              <w:top w:w="60" w:type="dxa"/>
              <w:left w:w="90" w:type="dxa"/>
              <w:bottom w:w="60" w:type="dxa"/>
              <w:right w:w="90" w:type="dxa"/>
            </w:tcMar>
          </w:tcPr>
          <w:p w14:paraId="5ECEB85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DERIVED harmonised physicochemical properties, built from Table_SM_2.2. Sheets: the table, a README, the cell-level harmonisation audit, and the declared parameters</w:t>
            </w:r>
          </w:p>
        </w:tc>
      </w:tr>
      <w:tr w:rsidR="003736AD" w:rsidRPr="007329FD" w14:paraId="5ECEB857" w14:textId="77777777">
        <w:tc>
          <w:tcPr>
            <w:tcW w:w="3200" w:type="dxa"/>
            <w:tcMar>
              <w:top w:w="60" w:type="dxa"/>
              <w:left w:w="90" w:type="dxa"/>
              <w:bottom w:w="60" w:type="dxa"/>
              <w:right w:w="90" w:type="dxa"/>
            </w:tcMar>
          </w:tcPr>
          <w:p w14:paraId="5ECEB855"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Table_SM_2.6.xlsx</w:t>
            </w:r>
          </w:p>
        </w:tc>
        <w:tc>
          <w:tcPr>
            <w:tcW w:w="6160" w:type="dxa"/>
            <w:tcMar>
              <w:top w:w="60" w:type="dxa"/>
              <w:left w:w="90" w:type="dxa"/>
              <w:bottom w:w="60" w:type="dxa"/>
              <w:right w:w="90" w:type="dxa"/>
            </w:tcMar>
          </w:tcPr>
          <w:p w14:paraId="5ECEB85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DERIVED harmonised environmental fate, built from Table_SM_2.3, with the same four sheets</w:t>
            </w:r>
          </w:p>
        </w:tc>
      </w:tr>
      <w:tr w:rsidR="003736AD" w:rsidRPr="007329FD" w14:paraId="5ECEB85A" w14:textId="77777777">
        <w:tc>
          <w:tcPr>
            <w:tcW w:w="3200" w:type="dxa"/>
            <w:tcMar>
              <w:top w:w="60" w:type="dxa"/>
              <w:left w:w="90" w:type="dxa"/>
              <w:bottom w:w="60" w:type="dxa"/>
              <w:right w:w="90" w:type="dxa"/>
            </w:tcMar>
          </w:tcPr>
          <w:p w14:paraId="5ECEB85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SM_2_generated.xlsx</w:t>
            </w:r>
          </w:p>
        </w:tc>
        <w:tc>
          <w:tcPr>
            <w:tcW w:w="6160" w:type="dxa"/>
            <w:tcMar>
              <w:top w:w="60" w:type="dxa"/>
              <w:left w:w="90" w:type="dxa"/>
              <w:bottom w:w="60" w:type="dxa"/>
              <w:right w:w="90" w:type="dxa"/>
            </w:tcMar>
          </w:tcPr>
          <w:p w14:paraId="5ECEB859"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Working copy of the input workbook with the two derived tables inserted and all other sheets carried through unchanged. This is the file every downstream module reads</w:t>
            </w:r>
          </w:p>
        </w:tc>
      </w:tr>
      <w:tr w:rsidR="003736AD" w:rsidRPr="007329FD" w14:paraId="5ECEB85D" w14:textId="77777777">
        <w:tc>
          <w:tcPr>
            <w:tcW w:w="3200" w:type="dxa"/>
            <w:tcMar>
              <w:top w:w="60" w:type="dxa"/>
              <w:left w:w="90" w:type="dxa"/>
              <w:bottom w:w="60" w:type="dxa"/>
              <w:right w:w="90" w:type="dxa"/>
            </w:tcMar>
          </w:tcPr>
          <w:p w14:paraId="5ECEB85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Table_SM_2.4.xlsx</w:t>
            </w:r>
          </w:p>
        </w:tc>
        <w:tc>
          <w:tcPr>
            <w:tcW w:w="6160" w:type="dxa"/>
            <w:tcMar>
              <w:top w:w="60" w:type="dxa"/>
              <w:left w:w="90" w:type="dxa"/>
              <w:bottom w:w="60" w:type="dxa"/>
              <w:right w:w="90" w:type="dxa"/>
            </w:tcMar>
          </w:tcPr>
          <w:p w14:paraId="5ECEB85C"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Censoring assessment and dataset census</w:t>
            </w:r>
          </w:p>
        </w:tc>
      </w:tr>
      <w:tr w:rsidR="003736AD" w:rsidRPr="007329FD" w14:paraId="5ECEB860" w14:textId="77777777">
        <w:tc>
          <w:tcPr>
            <w:tcW w:w="3200" w:type="dxa"/>
            <w:tcMar>
              <w:top w:w="60" w:type="dxa"/>
              <w:left w:w="90" w:type="dxa"/>
              <w:bottom w:w="60" w:type="dxa"/>
              <w:right w:w="90" w:type="dxa"/>
            </w:tcMar>
          </w:tcPr>
          <w:p w14:paraId="5ECEB85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Table_SM_2.7.xlsx</w:t>
            </w:r>
          </w:p>
        </w:tc>
        <w:tc>
          <w:tcPr>
            <w:tcW w:w="6160" w:type="dxa"/>
            <w:tcMar>
              <w:top w:w="60" w:type="dxa"/>
              <w:left w:w="90" w:type="dxa"/>
              <w:bottom w:w="60" w:type="dxa"/>
              <w:right w:w="90" w:type="dxa"/>
            </w:tcMar>
          </w:tcPr>
          <w:p w14:paraId="5ECEB85F"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Below-limit substitution sensitivity analysis</w:t>
            </w:r>
          </w:p>
        </w:tc>
      </w:tr>
      <w:tr w:rsidR="003736AD" w:rsidRPr="007329FD" w14:paraId="5ECEB863" w14:textId="77777777">
        <w:tc>
          <w:tcPr>
            <w:tcW w:w="3200" w:type="dxa"/>
            <w:tcMar>
              <w:top w:w="60" w:type="dxa"/>
              <w:left w:w="90" w:type="dxa"/>
              <w:bottom w:w="60" w:type="dxa"/>
              <w:right w:w="90" w:type="dxa"/>
            </w:tcMar>
          </w:tcPr>
          <w:p w14:paraId="5ECEB861"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Table_SM_2.8.xlsx</w:t>
            </w:r>
          </w:p>
        </w:tc>
        <w:tc>
          <w:tcPr>
            <w:tcW w:w="6160" w:type="dxa"/>
            <w:tcMar>
              <w:top w:w="60" w:type="dxa"/>
              <w:left w:w="90" w:type="dxa"/>
              <w:bottom w:w="60" w:type="dxa"/>
              <w:right w:w="90" w:type="dxa"/>
            </w:tcMar>
          </w:tcPr>
          <w:p w14:paraId="5ECEB862"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Thirty regressions in pooled, measured-only and log₁₀ forms with diagnostics</w:t>
            </w:r>
          </w:p>
        </w:tc>
      </w:tr>
      <w:tr w:rsidR="003736AD" w:rsidRPr="007329FD" w14:paraId="5ECEB866" w14:textId="77777777">
        <w:tc>
          <w:tcPr>
            <w:tcW w:w="3200" w:type="dxa"/>
            <w:tcMar>
              <w:top w:w="60" w:type="dxa"/>
              <w:left w:w="90" w:type="dxa"/>
              <w:bottom w:w="60" w:type="dxa"/>
              <w:right w:w="90" w:type="dxa"/>
            </w:tcMar>
          </w:tcPr>
          <w:p w14:paraId="5ECEB86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Table_SM_2.9.xlsx / _a</w:t>
            </w:r>
          </w:p>
        </w:tc>
        <w:tc>
          <w:tcPr>
            <w:tcW w:w="6160" w:type="dxa"/>
            <w:tcMar>
              <w:top w:w="60" w:type="dxa"/>
              <w:left w:w="90" w:type="dxa"/>
              <w:bottom w:w="60" w:type="dxa"/>
              <w:right w:w="90" w:type="dxa"/>
            </w:tcMar>
          </w:tcPr>
          <w:p w14:paraId="5ECEB865"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Persistence screening, estimate and study-level sensitivity; regulatory screening and axis provenance</w:t>
            </w:r>
          </w:p>
        </w:tc>
      </w:tr>
      <w:tr w:rsidR="003736AD" w:rsidRPr="007329FD" w14:paraId="5ECEB869" w14:textId="77777777">
        <w:tc>
          <w:tcPr>
            <w:tcW w:w="3200" w:type="dxa"/>
            <w:tcMar>
              <w:top w:w="60" w:type="dxa"/>
              <w:left w:w="90" w:type="dxa"/>
              <w:bottom w:w="60" w:type="dxa"/>
              <w:right w:w="90" w:type="dxa"/>
            </w:tcMar>
          </w:tcPr>
          <w:p w14:paraId="5ECEB86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Table_SM_2.10.xlsx</w:t>
            </w:r>
          </w:p>
        </w:tc>
        <w:tc>
          <w:tcPr>
            <w:tcW w:w="6160" w:type="dxa"/>
            <w:tcMar>
              <w:top w:w="60" w:type="dxa"/>
              <w:left w:w="90" w:type="dxa"/>
              <w:bottom w:w="60" w:type="dxa"/>
              <w:right w:w="90" w:type="dxa"/>
            </w:tcMar>
          </w:tcPr>
          <w:p w14:paraId="5ECEB868"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Long-format half-life lineage with provenance</w:t>
            </w:r>
          </w:p>
        </w:tc>
      </w:tr>
      <w:tr w:rsidR="003736AD" w:rsidRPr="007329FD" w14:paraId="5ECEB86C" w14:textId="77777777">
        <w:tc>
          <w:tcPr>
            <w:tcW w:w="3200" w:type="dxa"/>
            <w:tcMar>
              <w:top w:w="60" w:type="dxa"/>
              <w:left w:w="90" w:type="dxa"/>
              <w:bottom w:w="60" w:type="dxa"/>
              <w:right w:w="90" w:type="dxa"/>
            </w:tcMar>
          </w:tcPr>
          <w:p w14:paraId="5ECEB86A"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Table_SM_2.11.xlsx</w:t>
            </w:r>
          </w:p>
        </w:tc>
        <w:tc>
          <w:tcPr>
            <w:tcW w:w="6160" w:type="dxa"/>
            <w:tcMar>
              <w:top w:w="60" w:type="dxa"/>
              <w:left w:w="90" w:type="dxa"/>
              <w:bottom w:w="60" w:type="dxa"/>
              <w:right w:w="90" w:type="dxa"/>
            </w:tcMar>
          </w:tcPr>
          <w:p w14:paraId="5ECEB86B"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The five ratio analyses</w:t>
            </w:r>
          </w:p>
        </w:tc>
      </w:tr>
      <w:tr w:rsidR="003736AD" w:rsidRPr="007329FD" w14:paraId="5ECEB86F" w14:textId="77777777">
        <w:tc>
          <w:tcPr>
            <w:tcW w:w="3200" w:type="dxa"/>
            <w:tcMar>
              <w:top w:w="60" w:type="dxa"/>
              <w:left w:w="90" w:type="dxa"/>
              <w:bottom w:w="60" w:type="dxa"/>
              <w:right w:w="90" w:type="dxa"/>
            </w:tcMar>
          </w:tcPr>
          <w:p w14:paraId="5ECEB86D"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Table_SM_2.1_a.xlsx</w:t>
            </w:r>
          </w:p>
        </w:tc>
        <w:tc>
          <w:tcPr>
            <w:tcW w:w="6160" w:type="dxa"/>
            <w:tcMar>
              <w:top w:w="60" w:type="dxa"/>
              <w:left w:w="90" w:type="dxa"/>
              <w:bottom w:w="60" w:type="dxa"/>
              <w:right w:w="90" w:type="dxa"/>
            </w:tcMar>
          </w:tcPr>
          <w:p w14:paraId="5ECEB86E"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Geographic and bibliometric reconciliation</w:t>
            </w:r>
          </w:p>
        </w:tc>
      </w:tr>
      <w:tr w:rsidR="003736AD" w:rsidRPr="007329FD" w14:paraId="5ECEB872" w14:textId="77777777">
        <w:tc>
          <w:tcPr>
            <w:tcW w:w="3200" w:type="dxa"/>
            <w:tcMar>
              <w:top w:w="60" w:type="dxa"/>
              <w:left w:w="90" w:type="dxa"/>
              <w:bottom w:w="60" w:type="dxa"/>
              <w:right w:w="90" w:type="dxa"/>
            </w:tcMar>
          </w:tcPr>
          <w:p w14:paraId="5ECEB870"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SM_3_properties.xlsx</w:t>
            </w:r>
          </w:p>
        </w:tc>
        <w:tc>
          <w:tcPr>
            <w:tcW w:w="6160" w:type="dxa"/>
            <w:tcMar>
              <w:top w:w="60" w:type="dxa"/>
              <w:left w:w="90" w:type="dxa"/>
              <w:bottom w:w="60" w:type="dxa"/>
              <w:right w:w="90" w:type="dxa"/>
            </w:tcMar>
          </w:tcPr>
          <w:p w14:paraId="5ECEB871"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Descriptive statistics for the six physicochemical descriptors, both weighting schemes</w:t>
            </w:r>
          </w:p>
        </w:tc>
      </w:tr>
      <w:tr w:rsidR="003736AD" w:rsidRPr="007329FD" w14:paraId="5ECEB875" w14:textId="77777777">
        <w:tc>
          <w:tcPr>
            <w:tcW w:w="3200" w:type="dxa"/>
            <w:tcMar>
              <w:top w:w="60" w:type="dxa"/>
              <w:left w:w="90" w:type="dxa"/>
              <w:bottom w:w="60" w:type="dxa"/>
              <w:right w:w="90" w:type="dxa"/>
            </w:tcMar>
          </w:tcPr>
          <w:p w14:paraId="5ECEB873"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SM_4_fate.xlsx</w:t>
            </w:r>
          </w:p>
        </w:tc>
        <w:tc>
          <w:tcPr>
            <w:tcW w:w="6160" w:type="dxa"/>
            <w:tcMar>
              <w:top w:w="60" w:type="dxa"/>
              <w:left w:w="90" w:type="dxa"/>
              <w:bottom w:w="60" w:type="dxa"/>
              <w:right w:w="90" w:type="dxa"/>
            </w:tcMar>
          </w:tcPr>
          <w:p w14:paraId="5ECEB874"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Descriptive statistics for the six half-life variables (both weighting schemes) in the Harmonized_*/AGG_* sheets, plus the censored-data concentration statistics for the four concentration variables in the Conc_* sheets (see next row). The biased point-table concentration statistics are not produced.</w:t>
            </w:r>
          </w:p>
        </w:tc>
      </w:tr>
      <w:tr w:rsidR="003736AD" w:rsidRPr="007329FD" w14:paraId="5ECEB878" w14:textId="77777777">
        <w:tc>
          <w:tcPr>
            <w:tcW w:w="3200" w:type="dxa"/>
            <w:tcMar>
              <w:top w:w="60" w:type="dxa"/>
              <w:left w:w="90" w:type="dxa"/>
              <w:bottom w:w="60" w:type="dxa"/>
              <w:right w:w="90" w:type="dxa"/>
            </w:tcMar>
          </w:tcPr>
          <w:p w14:paraId="5ECEB876"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figures/</w:t>
            </w:r>
          </w:p>
        </w:tc>
        <w:tc>
          <w:tcPr>
            <w:tcW w:w="6160" w:type="dxa"/>
            <w:tcMar>
              <w:top w:w="60" w:type="dxa"/>
              <w:left w:w="90" w:type="dxa"/>
              <w:bottom w:w="60" w:type="dxa"/>
              <w:right w:w="90" w:type="dxa"/>
            </w:tcMar>
          </w:tcPr>
          <w:p w14:paraId="5ECEB877" w14:textId="77777777" w:rsidR="003736AD" w:rsidRPr="007329FD" w:rsidRDefault="00DC2353" w:rsidP="007329FD">
            <w:pPr>
              <w:spacing w:line="360" w:lineRule="auto"/>
              <w:jc w:val="both"/>
              <w:rPr>
                <w:rFonts w:ascii="Times New Roman" w:hAnsi="Times New Roman" w:cs="Times New Roman"/>
                <w:sz w:val="24"/>
                <w:szCs w:val="24"/>
              </w:rPr>
            </w:pPr>
            <w:r w:rsidRPr="007329FD">
              <w:rPr>
                <w:rFonts w:ascii="Times New Roman" w:hAnsi="Times New Roman" w:cs="Times New Roman"/>
                <w:sz w:val="24"/>
                <w:szCs w:val="24"/>
              </w:rPr>
              <w:t>All boxplot and synthesis figures</w:t>
            </w:r>
          </w:p>
        </w:tc>
      </w:tr>
      <w:tr w:rsidR="00D765A1" w14:paraId="41B108A0" w14:textId="77777777">
        <w:tc>
          <w:tcPr>
            <w:tcW w:w="3200" w:type="dxa"/>
          </w:tcPr>
          <w:p w14:paraId="7912DBC9" w14:textId="77777777" w:rsidR="00D765A1" w:rsidRDefault="008D2323">
            <w:r>
              <w:t>SM_4_fate.xlsx — Conc_* sheets</w:t>
            </w:r>
          </w:p>
        </w:tc>
        <w:tc>
          <w:tcPr>
            <w:tcW w:w="6160" w:type="dxa"/>
          </w:tcPr>
          <w:p w14:paraId="6386B3EA" w14:textId="77777777" w:rsidR="00D765A1" w:rsidRDefault="008D2323">
            <w:r>
              <w:t>Censored-data concentration statistics for the four concentration variables (Kaplan–Meier primary; Turnbull/DL2 cross-checks), reported overall, by class and by compound, with detection frequencies, under both weighting schemes. These are the concentration statistics of record; they replace the point-table concentration statistics, which are not produced.</w:t>
            </w:r>
          </w:p>
        </w:tc>
      </w:tr>
    </w:tbl>
    <w:p w14:paraId="0AEBB0FE" w14:textId="77777777" w:rsidR="00CA1A06" w:rsidRDefault="00CA1A06" w:rsidP="007329FD">
      <w:pPr>
        <w:pStyle w:val="Heading1"/>
        <w:spacing w:before="300" w:after="140" w:line="360" w:lineRule="auto"/>
        <w:jc w:val="both"/>
        <w:rPr>
          <w:rFonts w:ascii="Times New Roman" w:hAnsi="Times New Roman" w:cs="Times New Roman"/>
          <w:b/>
          <w:bCs/>
          <w:color w:val="1F3864"/>
          <w:sz w:val="24"/>
          <w:szCs w:val="24"/>
        </w:rPr>
      </w:pPr>
    </w:p>
    <w:p w14:paraId="5ECEB879" w14:textId="5E76B431" w:rsidR="003736AD" w:rsidRPr="007329FD" w:rsidRDefault="00DC2353" w:rsidP="007329FD">
      <w:pPr>
        <w:pStyle w:val="Heading1"/>
        <w:spacing w:before="300" w:after="140" w:line="360" w:lineRule="auto"/>
        <w:jc w:val="both"/>
        <w:rPr>
          <w:rFonts w:ascii="Times New Roman" w:hAnsi="Times New Roman" w:cs="Times New Roman"/>
          <w:sz w:val="24"/>
          <w:szCs w:val="24"/>
        </w:rPr>
      </w:pPr>
      <w:r w:rsidRPr="007329FD">
        <w:rPr>
          <w:rFonts w:ascii="Times New Roman" w:hAnsi="Times New Roman" w:cs="Times New Roman"/>
          <w:b/>
          <w:bCs/>
          <w:color w:val="1F3864"/>
          <w:sz w:val="24"/>
          <w:szCs w:val="24"/>
        </w:rPr>
        <w:t>S17. Reproducibility statement</w:t>
      </w:r>
    </w:p>
    <w:p w14:paraId="5ECEB87A"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The workflow is a single, self-contained script driven by a single input workbook, with deterministic output. From version 3 there is no curation step outside it: the raw-to-harmonised transformation described in Section S4 is executed by the script, audited cell by cell in the harmonisation_audit sheet of each derived table, and its output is the input to every later module. Re-execution in a clean environment from SM_2.xlsx alone regenerates every file in Table S.4, including the harmonised tables themselves.</w:t>
      </w:r>
    </w:p>
    <w:p w14:paraId="5ECEB87B" w14:textId="77777777" w:rsidR="003736AD" w:rsidRPr="007329F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One class of reported quantity still cannot be regenerated from SM_2.xlsx and is marked as such rather than silently produced: the upstream PRISMA search-and-screening counts, which originate in the screening log and are supplied as a template for manual completion.</w:t>
      </w:r>
    </w:p>
    <w:p w14:paraId="5ECEB87C" w14:textId="77777777" w:rsidR="003736AD" w:rsidRDefault="00DC2353" w:rsidP="007329FD">
      <w:pPr>
        <w:spacing w:after="140" w:line="360" w:lineRule="auto"/>
        <w:jc w:val="both"/>
        <w:rPr>
          <w:rFonts w:ascii="Times New Roman" w:hAnsi="Times New Roman" w:cs="Times New Roman"/>
          <w:sz w:val="24"/>
          <w:szCs w:val="24"/>
        </w:rPr>
      </w:pPr>
      <w:r w:rsidRPr="007329FD">
        <w:rPr>
          <w:rFonts w:ascii="Times New Roman" w:hAnsi="Times New Roman" w:cs="Times New Roman"/>
          <w:sz w:val="24"/>
          <w:szCs w:val="24"/>
        </w:rPr>
        <w:t>Measured values remain distinguishable from substitution-derived and database-derived values at every stage: the rule applied to each cell is recorded in the harmonisation_audit sheet of the derived tables, the censoring assessment quantifies the substitution per variable, and the provenance module tags every half-life by study design.</w:t>
      </w:r>
    </w:p>
    <w:sectPr w:rsidR="003736AD">
      <w:pgSz w:w="11906" w:h="16838"/>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66651E"/>
    <w:multiLevelType w:val="hybridMultilevel"/>
    <w:tmpl w:val="634A8956"/>
    <w:lvl w:ilvl="0" w:tplc="20A496A2">
      <w:start w:val="1"/>
      <w:numFmt w:val="bullet"/>
      <w:lvlText w:val="●"/>
      <w:lvlJc w:val="left"/>
      <w:pPr>
        <w:ind w:left="720" w:hanging="360"/>
      </w:pPr>
    </w:lvl>
    <w:lvl w:ilvl="1" w:tplc="4BE89C52">
      <w:start w:val="1"/>
      <w:numFmt w:val="bullet"/>
      <w:lvlText w:val="○"/>
      <w:lvlJc w:val="left"/>
      <w:pPr>
        <w:ind w:left="1440" w:hanging="360"/>
      </w:pPr>
    </w:lvl>
    <w:lvl w:ilvl="2" w:tplc="5BBCCA24">
      <w:start w:val="1"/>
      <w:numFmt w:val="bullet"/>
      <w:lvlText w:val="■"/>
      <w:lvlJc w:val="left"/>
      <w:pPr>
        <w:ind w:left="2160" w:hanging="360"/>
      </w:pPr>
    </w:lvl>
    <w:lvl w:ilvl="3" w:tplc="665EAA16">
      <w:start w:val="1"/>
      <w:numFmt w:val="bullet"/>
      <w:lvlText w:val="●"/>
      <w:lvlJc w:val="left"/>
      <w:pPr>
        <w:ind w:left="2880" w:hanging="360"/>
      </w:pPr>
    </w:lvl>
    <w:lvl w:ilvl="4" w:tplc="B86217E6">
      <w:start w:val="1"/>
      <w:numFmt w:val="bullet"/>
      <w:lvlText w:val="○"/>
      <w:lvlJc w:val="left"/>
      <w:pPr>
        <w:ind w:left="3600" w:hanging="360"/>
      </w:pPr>
    </w:lvl>
    <w:lvl w:ilvl="5" w:tplc="26DABE12">
      <w:start w:val="1"/>
      <w:numFmt w:val="bullet"/>
      <w:lvlText w:val="■"/>
      <w:lvlJc w:val="left"/>
      <w:pPr>
        <w:ind w:left="4320" w:hanging="360"/>
      </w:pPr>
    </w:lvl>
    <w:lvl w:ilvl="6" w:tplc="53069964">
      <w:start w:val="1"/>
      <w:numFmt w:val="bullet"/>
      <w:lvlText w:val="●"/>
      <w:lvlJc w:val="left"/>
      <w:pPr>
        <w:ind w:left="5040" w:hanging="360"/>
      </w:pPr>
    </w:lvl>
    <w:lvl w:ilvl="7" w:tplc="1CBC99CA">
      <w:start w:val="1"/>
      <w:numFmt w:val="bullet"/>
      <w:lvlText w:val="●"/>
      <w:lvlJc w:val="left"/>
      <w:pPr>
        <w:ind w:left="5760" w:hanging="360"/>
      </w:pPr>
    </w:lvl>
    <w:lvl w:ilvl="8" w:tplc="473C4C00">
      <w:start w:val="1"/>
      <w:numFmt w:val="bullet"/>
      <w:lvlText w:val="●"/>
      <w:lvlJc w:val="left"/>
      <w:pPr>
        <w:ind w:left="6480" w:hanging="360"/>
      </w:pPr>
    </w:lvl>
  </w:abstractNum>
  <w:num w:numId="1" w16cid:durableId="2138638148">
    <w:abstractNumId w:val="0"/>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36AD"/>
    <w:rsid w:val="00020610"/>
    <w:rsid w:val="000E1273"/>
    <w:rsid w:val="001017EA"/>
    <w:rsid w:val="00134B28"/>
    <w:rsid w:val="00164774"/>
    <w:rsid w:val="00292179"/>
    <w:rsid w:val="002A02B0"/>
    <w:rsid w:val="002D6E52"/>
    <w:rsid w:val="00302C93"/>
    <w:rsid w:val="003736AD"/>
    <w:rsid w:val="0037583C"/>
    <w:rsid w:val="003B6384"/>
    <w:rsid w:val="003C7C52"/>
    <w:rsid w:val="00481948"/>
    <w:rsid w:val="00520B76"/>
    <w:rsid w:val="005F2F14"/>
    <w:rsid w:val="006C6198"/>
    <w:rsid w:val="007329FD"/>
    <w:rsid w:val="0079332F"/>
    <w:rsid w:val="008348B3"/>
    <w:rsid w:val="00896AC0"/>
    <w:rsid w:val="008D5759"/>
    <w:rsid w:val="00924F5E"/>
    <w:rsid w:val="00A42DD4"/>
    <w:rsid w:val="00AD360E"/>
    <w:rsid w:val="00B47BA2"/>
    <w:rsid w:val="00B609B1"/>
    <w:rsid w:val="00B67498"/>
    <w:rsid w:val="00BD6926"/>
    <w:rsid w:val="00BE758D"/>
    <w:rsid w:val="00C3593F"/>
    <w:rsid w:val="00C733D5"/>
    <w:rsid w:val="00CA1A06"/>
    <w:rsid w:val="00D765A1"/>
    <w:rsid w:val="00DC2353"/>
    <w:rsid w:val="00E74320"/>
    <w:rsid w:val="00E779F0"/>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5ECEB79A"/>
  <w15:docId w15:val="{6A528A10-5347-46A0-833A-8A81275BBA2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Calibri"/>
        <w:sz w:val="21"/>
        <w:szCs w:val="21"/>
        <w:lang w:val="en-GB" w:eastAsia="en-GB"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uiPriority w:val="9"/>
    <w:qFormat/>
    <w:pPr>
      <w:outlineLvl w:val="0"/>
    </w:pPr>
    <w:rPr>
      <w:color w:val="2E74B5"/>
      <w:sz w:val="32"/>
      <w:szCs w:val="32"/>
    </w:rPr>
  </w:style>
  <w:style w:type="paragraph" w:styleId="Heading2">
    <w:name w:val="heading 2"/>
    <w:uiPriority w:val="9"/>
    <w:unhideWhenUsed/>
    <w:qFormat/>
    <w:pPr>
      <w:outlineLvl w:val="1"/>
    </w:pPr>
    <w:rPr>
      <w:color w:val="2E74B5"/>
      <w:sz w:val="26"/>
      <w:szCs w:val="26"/>
    </w:rPr>
  </w:style>
  <w:style w:type="paragraph" w:styleId="Heading3">
    <w:name w:val="heading 3"/>
    <w:uiPriority w:val="9"/>
    <w:semiHidden/>
    <w:unhideWhenUsed/>
    <w:qFormat/>
    <w:pPr>
      <w:outlineLvl w:val="2"/>
    </w:pPr>
    <w:rPr>
      <w:color w:val="1F4D78"/>
      <w:sz w:val="24"/>
      <w:szCs w:val="24"/>
    </w:rPr>
  </w:style>
  <w:style w:type="paragraph" w:styleId="Heading4">
    <w:name w:val="heading 4"/>
    <w:uiPriority w:val="9"/>
    <w:semiHidden/>
    <w:unhideWhenUsed/>
    <w:qFormat/>
    <w:pPr>
      <w:outlineLvl w:val="3"/>
    </w:pPr>
    <w:rPr>
      <w:i/>
      <w:iCs/>
      <w:color w:val="2E74B5"/>
    </w:rPr>
  </w:style>
  <w:style w:type="paragraph" w:styleId="Heading5">
    <w:name w:val="heading 5"/>
    <w:uiPriority w:val="9"/>
    <w:semiHidden/>
    <w:unhideWhenUsed/>
    <w:qFormat/>
    <w:pPr>
      <w:outlineLvl w:val="4"/>
    </w:pPr>
    <w:rPr>
      <w:color w:val="2E74B5"/>
    </w:rPr>
  </w:style>
  <w:style w:type="paragraph" w:styleId="Heading6">
    <w:name w:val="heading 6"/>
    <w:uiPriority w:val="9"/>
    <w:semiHidden/>
    <w:unhideWhenUsed/>
    <w:qFormat/>
    <w:pPr>
      <w:outlineLvl w:val="5"/>
    </w:pPr>
    <w:rPr>
      <w:color w:val="1F4D7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uiPriority w:val="10"/>
    <w:qFormat/>
    <w:rPr>
      <w:sz w:val="56"/>
      <w:szCs w:val="56"/>
    </w:rPr>
  </w:style>
  <w:style w:type="paragraph" w:customStyle="1" w:styleId="Strong1">
    <w:name w:val="Strong1"/>
    <w:qFormat/>
    <w:rPr>
      <w:b/>
      <w:bCs/>
    </w:rPr>
  </w:style>
  <w:style w:type="paragraph" w:styleId="ListParagraph">
    <w:name w:val="List Paragraph"/>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rPr>
      <w:sz w:val="20"/>
      <w:szCs w:val="20"/>
    </w:rPr>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rPr>
      <w:sz w:val="20"/>
      <w:szCs w:val="20"/>
    </w:rPr>
  </w:style>
  <w:style w:type="character" w:customStyle="1" w:styleId="EndnoteTextChar">
    <w:name w:val="Endnote Text Char"/>
    <w:link w:val="EndnoteText"/>
    <w:uiPriority w:val="99"/>
    <w:semiHidden/>
    <w:unhideWhenUsed/>
    <w:rPr>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yperlink" Target="mailto:a59862@ualg.pt" TargetMode="Externa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hyperlink" Target="mailto:lnunes@ualg.pt" TargetMode="External"/><Relationship Id="rId5" Type="http://schemas.openxmlformats.org/officeDocument/2006/relationships/hyperlink" Target="mailto:a59862@ualg.pt" TargetMode="External"/><Relationship Id="rId4" Type="http://schemas.openxmlformats.org/officeDocument/2006/relationships/webSettings" Target="web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34</TotalTime>
  <Pages>3</Pages>
  <Words>4933</Words>
  <Characters>28120</Characters>
  <Application>Microsoft Office Word</Application>
  <DocSecurity>0</DocSecurity>
  <Lines>234</Lines>
  <Paragraphs>65</Paragraphs>
  <ScaleCrop>false</ScaleCrop>
  <Company/>
  <LinksUpToDate>false</LinksUpToDate>
  <CharactersWithSpaces>32988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PAOLO TUFONI</cp:lastModifiedBy>
  <cp:revision>29</cp:revision>
  <dcterms:created xsi:type="dcterms:W3CDTF">2026-08-05T10:09:00Z</dcterms:created>
  <dcterms:modified xsi:type="dcterms:W3CDTF">2026-09-04T04:50:00Z</dcterms:modified>
</cp:coreProperties>
</file>