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os modificadores de visibilidade em Java afetam diretamente a herança, pois determinam como e onde os membros de uma classe (atributos e métodos) podem ser acessados por outras classes, incluindo subclasses. A seguir, detalhamos o impacto de cada modificador no contexto da herança: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(Público)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Acessibilidade: Membros declarados como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são acessíveis de qualquer lugar, incluindo todas as classes e pacotes.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Impacto na herança: Subclasses, independentemente do pacote em que estejam, podem herdar e acessar diretamente membros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da classe pai.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 (Protegido)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Acessibilidade: Membros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são acessíveis dentro do mesmo pacote e por subclasses através da herança (através do this), mesmo que estas estejam em pacotes diferentes.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Impacto na herança: Subclasses podem herdar membros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e acessá-los diretamente, mesmo que estejam em pacotes distintos. Além disso, outras classes no mesmo pacote também têm acesso a esses membros.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(Padrão) ou Package-Private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Acessibilidade: Quando nenhum modificador é especificado, os membros têm acesso "package-private", ou seja, são acessíveis apenas por classes dentro do mesmo pacote.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Impacto na herança: Subclasses localizadas no mesmo pacote podem herdar e acessar diretamente esses membros. No entanto, subclasses em pacotes diferentes não têm acesso a membros com acesso padrão.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(Privado)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Acessibilidade: Membros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são acessíveis apenas dentro da própria classe onde foram declarados.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Impacto na herança: Membros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não são herdados por  subclasses, eles permanecem inacessíveis fora da classe original, mesmo para subclasses.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