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 w:line="240" w:lineRule="auto"/>
      </w:pPr>
      <w:r>
        <w:rPr>
          <w:rFonts w:ascii="Calibri" w:hAnsi="Calibri"/>
          <w:b/>
          <w:color w:val="1F4E78"/>
          <w:sz w:val="38"/>
        </w:rPr>
        <w:t>Modelo Relacional — Listas de Espera y Dimensiones</w:t>
      </w:r>
    </w:p>
    <w:p>
      <w:pPr>
        <w:spacing w:before="0" w:after="20" w:line="240" w:lineRule="auto"/>
      </w:pPr>
      <w:r>
        <w:rPr>
          <w:rFonts w:ascii="Calibri" w:hAnsi="Calibri"/>
          <w:sz w:val="20"/>
        </w:rPr>
        <w:t>Servicio de Salud Chiloé · Subdirección de Gestión Asistencial</w:t>
      </w:r>
    </w:p>
    <w:p>
      <w:pPr>
        <w:spacing w:before="0" w:after="160" w:line="240" w:lineRule="auto"/>
      </w:pPr>
      <w:r>
        <w:rPr>
          <w:color w:val="595959"/>
          <w:sz w:val="17"/>
        </w:rPr>
        <w:t>Fuente: SIGTE · corte 15-07-2026 · bases CNE, IQ y PROC (447.546 registros) · 9 relaciones verificadas sobre los datos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1.  Síntesis</w:t>
      </w:r>
    </w:p>
    <w:p>
      <w:pPr>
        <w:spacing w:before="0" w:after="60" w:line="240" w:lineRule="auto"/>
        <w:jc w:val="both"/>
      </w:pPr>
      <w:r>
        <w:rPr>
          <w:rFonts w:ascii="Calibri" w:hAnsi="Calibri"/>
          <w:sz w:val="18"/>
        </w:rPr>
        <w:t>Las tres listas de espera son el mismo hecho particionado por TIPO_PREST: comparten grano (una fila = una interconsulta, identificada por SIGTE_ID) y comparten las dimensiones. El modelo es una estrella con 9 relaciones, todas de cardinalidad N:1. Cada llave fue medida contra los datos del corte, no supuesta: la sección 4 reporta cobertura y huérfanos por lista.</w:t>
      </w:r>
    </w:p>
    <w:p>
      <w:pPr>
        <w:spacing w:before="0" w:after="60" w:line="240" w:lineRule="auto"/>
        <w:jc w:val="both"/>
      </w:pPr>
      <w:r>
        <w:rPr>
          <w:rFonts w:ascii="Calibri" w:hAnsi="Calibri"/>
          <w:sz w:val="18"/>
        </w:rPr>
        <w:t>Dos decisiones lo sostienen: el establecimiento entra tres veces, una por cada rol que cumple (quién deriva, quién resuelve, quién atendió); y la prestación se resuelve contra dos dimensiones distintas según la lista, porque el catálogo de consulta e intervención no cubre procedimientos.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2.  Diagrama del modelo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1268" cy="41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elo_Relacional_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268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0" w:after="80" w:line="240" w:lineRule="auto"/>
        <w:jc w:val="center"/>
      </w:pPr>
      <w:r>
        <w:rPr>
          <w:b/>
          <w:color w:val="1F4E78"/>
          <w:sz w:val="15"/>
        </w:rPr>
        <w:t xml:space="preserve">Figura 1.  </w:t>
      </w:r>
      <w:r>
        <w:rPr>
          <w:color w:val="595959"/>
          <w:sz w:val="15"/>
        </w:rPr>
        <w:t>Modelo estrella. Línea continua: llave presente en SIGTE. Línea punteada: relación derivada. Morado: los tres roles del establecimiento (misma fuente). N:1 = muchas interconsultas por registro de dimensión.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3.  El establecimiento cumple tres roles distintos</w:t>
      </w:r>
    </w:p>
    <w:p>
      <w:pPr>
        <w:spacing w:before="0" w:after="80" w:line="240" w:lineRule="auto"/>
        <w:jc w:val="both"/>
      </w:pPr>
      <w:r>
        <w:rPr>
          <w:rFonts w:ascii="Calibri" w:hAnsi="Calibri"/>
          <w:sz w:val="18"/>
        </w:rPr>
        <w:t>El Mantenedor de Establecimientos entra al modelo tres veces porque el hecho lo referencia con tres significados que no son intercambiables: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12" w:color="1F4E78"/>
          <w:bottom w:val="single" w:sz="12" w:color="1F4E78"/>
          <w:left w:val="none" w:sz="0" w:color="auto"/>
          <w:right w:val="none" w:sz="0" w:color="auto"/>
          <w:insideH w:val="single" w:sz="2" w:color="D9D9D9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24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Rol</w:t>
            </w:r>
          </w:p>
        </w:tc>
        <w:tc>
          <w:tcPr>
            <w:tcW w:type="dxa" w:w="147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Columna</w:t>
            </w:r>
          </w:p>
        </w:tc>
        <w:tc>
          <w:tcPr>
            <w:tcW w:type="dxa" w:w="4195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Significado</w:t>
            </w:r>
          </w:p>
        </w:tc>
        <w:tc>
          <w:tcPr>
            <w:tcW w:type="dxa" w:w="827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Pregunta que responde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ORIGEN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ESTAB_ORIG</w:t>
            </w:r>
          </w:p>
        </w:tc>
        <w:tc>
          <w:tcPr>
            <w:tcW w:type="dxa" w:w="4195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Quién deriva al paciente. Casi siempre APS.</w:t>
            </w:r>
          </w:p>
        </w:tc>
        <w:tc>
          <w:tcPr>
            <w:tcW w:type="dxa" w:w="827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¿Qué CESFAM genera más derivaciones? ¿Qué comuna demanda más?</w:t>
            </w:r>
          </w:p>
        </w:tc>
      </w:tr>
      <w:tr>
        <w:tc>
          <w:tcPr>
            <w:tcW w:type="dxa" w:w="1247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DESTINO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ESTAB_DEST</w:t>
            </w:r>
          </w:p>
        </w:tc>
        <w:tc>
          <w:tcPr>
            <w:tcW w:type="dxa" w:w="4195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Quién debe resolver la prestación.</w:t>
            </w:r>
          </w:p>
        </w:tc>
        <w:tc>
          <w:tcPr>
            <w:tcW w:type="dxa" w:w="8277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Carga por hospital · red Chiloé frente a macrored · nivel de resolución.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OTORGANTE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E_OTOR_AT</w:t>
            </w:r>
          </w:p>
        </w:tc>
        <w:tc>
          <w:tcPr>
            <w:tcW w:type="dxa" w:w="4195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Quién atendió efectivamente al egresar.</w:t>
            </w:r>
          </w:p>
        </w:tc>
        <w:tc>
          <w:tcPr>
            <w:tcW w:type="dxa" w:w="827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Producción real por establecimiento · ¿resolvió quien correspondía?</w:t>
            </w:r>
          </w:p>
        </w:tc>
      </w:tr>
    </w:tbl>
    <w:p>
      <w:pPr>
        <w:spacing w:before="30" w:after="80" w:line="240" w:lineRule="auto"/>
      </w:pPr>
      <w:r>
        <w:rPr>
          <w:b/>
          <w:color w:val="1F4E78"/>
          <w:sz w:val="15"/>
        </w:rPr>
        <w:t xml:space="preserve">Tabla 1.  </w:t>
      </w:r>
      <w:r>
        <w:rPr>
          <w:color w:val="595959"/>
          <w:sz w:val="15"/>
        </w:rPr>
        <w:t>Los tres roles del establecimiento sobre la misma tabla fuente.</w:t>
      </w:r>
    </w:p>
    <w:p>
      <w:pPr>
        <w:spacing w:before="0" w:after="60" w:line="240" w:lineRule="auto"/>
        <w:jc w:val="both"/>
      </w:pPr>
      <w:r>
        <w:rPr>
          <w:rFonts w:ascii="Calibri" w:hAnsi="Calibri"/>
          <w:sz w:val="18"/>
        </w:rPr>
        <w:t>Son la misma tabla física (Mantenedor_ Establecimiento.xlsx) cargada tres veces, no tres archivos distintos: en Power BI son tres consultas al mismo origen; en SQL, tres alias o tres vistas.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Power BI solo admite una relación activa entre dos tablas. Con una sola dimensión de establecimiento, dos de las tres relaciones quedarían inactivas y habría que escribir USERELATIONSHIP en cada medida: inviable para quien arma un informe.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Evita ambigüedad de lectura: al filtrar «Hospital de Castro» el usuario debe poder elegir si quiere los casos derivados DESDE Castro, los derivados HACIA Castro o los ATENDIDOS en Castro. Con una dimensión compartida esa distinción se pierde.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Es el patrón role-playing dimension de Kimball, el mismo que aplica a las fechas (F_ENTRADA frente a F_SALIDA) cuando se incorpora una dimensión calendario.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4.  Relaciones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12" w:color="1F4E78"/>
          <w:bottom w:val="single" w:sz="12" w:color="1F4E78"/>
          <w:left w:val="none" w:sz="0" w:color="auto"/>
          <w:right w:val="none" w:sz="0" w:color="auto"/>
          <w:insideH w:val="single" w:sz="2" w:color="D9D9D9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39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#</w:t>
            </w:r>
          </w:p>
        </w:tc>
        <w:tc>
          <w:tcPr>
            <w:tcW w:type="dxa" w:w="2041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Columna en la lista</w:t>
            </w:r>
          </w:p>
        </w:tc>
        <w:tc>
          <w:tcPr>
            <w:tcW w:type="dxa" w:w="2948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Dimensión</w:t>
            </w:r>
          </w:p>
        </w:tc>
        <w:tc>
          <w:tcPr>
            <w:tcW w:type="dxa" w:w="249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Clave de la dimensión</w:t>
            </w:r>
          </w:p>
        </w:tc>
        <w:tc>
          <w:tcPr>
            <w:tcW w:type="dxa" w:w="90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Card.</w:t>
            </w:r>
          </w:p>
        </w:tc>
        <w:tc>
          <w:tcPr>
            <w:tcW w:type="dxa" w:w="6406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Qué representa</w:t>
            </w:r>
          </w:p>
        </w:tc>
      </w:tr>
      <w:tr>
        <w:tc>
          <w:tcPr>
            <w:tcW w:type="dxa" w:w="39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RUN + DV</w:t>
            </w:r>
          </w:p>
        </w:tc>
        <w:tc>
          <w:tcPr>
            <w:tcW w:type="dxa" w:w="2948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Maestro_Pacientes_Unificado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RUN</w:t>
            </w:r>
          </w:p>
        </w:tc>
        <w:tc>
          <w:tcPr>
            <w:tcW w:type="dxa" w:w="90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</w:t>
            </w:r>
          </w:p>
        </w:tc>
        <w:tc>
          <w:tcPr>
            <w:tcW w:type="dxa" w:w="640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Identifica al paciente. Un paciente puede tener muchas interconsultas en las 3 listas.</w:t>
            </w:r>
          </w:p>
        </w:tc>
      </w:tr>
      <w:tr>
        <w:tc>
          <w:tcPr>
            <w:tcW w:type="dxa" w:w="39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041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PRESTA_MIN</w:t>
            </w:r>
          </w:p>
        </w:tc>
        <w:tc>
          <w:tcPr>
            <w:tcW w:type="dxa" w:w="2948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Prestaciones_CNE_IQ</w:t>
            </w:r>
          </w:p>
        </w:tc>
        <w:tc>
          <w:tcPr>
            <w:tcW w:type="dxa" w:w="2494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Propuesta de Código (CNE) / Código SIGTE (IQ)</w:t>
            </w:r>
          </w:p>
        </w:tc>
        <w:tc>
          <w:tcPr>
            <w:tcW w:type="dxa" w:w="907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</w:t>
            </w:r>
          </w:p>
        </w:tc>
        <w:tc>
          <w:tcPr>
            <w:tcW w:type="dxa" w:w="640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Prestación solicitada. Dimensión preferente para CNE e IQ.</w:t>
            </w:r>
          </w:p>
        </w:tc>
      </w:tr>
      <w:tr>
        <w:tc>
          <w:tcPr>
            <w:tcW w:type="dxa" w:w="39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PRESTA_MIN</w:t>
            </w:r>
          </w:p>
        </w:tc>
        <w:tc>
          <w:tcPr>
            <w:tcW w:type="dxa" w:w="2948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Maestro_Prestacion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Código</w:t>
            </w:r>
          </w:p>
        </w:tc>
        <w:tc>
          <w:tcPr>
            <w:tcW w:type="dxa" w:w="90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</w:t>
            </w:r>
          </w:p>
        </w:tc>
        <w:tc>
          <w:tcPr>
            <w:tcW w:type="dxa" w:w="640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Misma columna, otra dimensión: PROC no está cubierto por Prestaciones_CNE_IQ. También actúa de fallback para CNE/IQ.</w:t>
            </w:r>
          </w:p>
        </w:tc>
      </w:tr>
      <w:tr>
        <w:tc>
          <w:tcPr>
            <w:tcW w:type="dxa" w:w="39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041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ESTAB_ORIG</w:t>
            </w:r>
          </w:p>
        </w:tc>
        <w:tc>
          <w:tcPr>
            <w:tcW w:type="dxa" w:w="2948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Dim_Establecimiento_ORIGEN</w:t>
            </w:r>
          </w:p>
        </w:tc>
        <w:tc>
          <w:tcPr>
            <w:tcW w:type="dxa" w:w="2494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Código Nuevo (6 dígitos)</w:t>
            </w:r>
          </w:p>
        </w:tc>
        <w:tc>
          <w:tcPr>
            <w:tcW w:type="dxa" w:w="907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</w:t>
            </w:r>
          </w:p>
        </w:tc>
        <w:tc>
          <w:tcPr>
            <w:tcW w:type="dxa" w:w="640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Quién DERIVA al paciente: casi siempre APS. Rol 1 de 3 sobre el Mantenedor.</w:t>
            </w:r>
          </w:p>
        </w:tc>
      </w:tr>
      <w:tr>
        <w:tc>
          <w:tcPr>
            <w:tcW w:type="dxa" w:w="39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04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ESTAB_DEST</w:t>
            </w:r>
          </w:p>
        </w:tc>
        <w:tc>
          <w:tcPr>
            <w:tcW w:type="dxa" w:w="2948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Dim_Establecimiento_DESTINO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Código Nuevo (6 dígitos)</w:t>
            </w:r>
          </w:p>
        </w:tc>
        <w:tc>
          <w:tcPr>
            <w:tcW w:type="dxa" w:w="90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</w:t>
            </w:r>
          </w:p>
        </w:tc>
        <w:tc>
          <w:tcPr>
            <w:tcW w:type="dxa" w:w="640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Quién debe RESOLVER. Define red Chiloé (SS 33) frente a macrored. Rol 2 de 3.</w:t>
            </w:r>
          </w:p>
        </w:tc>
      </w:tr>
      <w:tr>
        <w:tc>
          <w:tcPr>
            <w:tcW w:type="dxa" w:w="39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041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E_OTOR_AT</w:t>
            </w:r>
          </w:p>
        </w:tc>
        <w:tc>
          <w:tcPr>
            <w:tcW w:type="dxa" w:w="2948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Dim_Establecimiento_OTORGANTE</w:t>
            </w:r>
          </w:p>
        </w:tc>
        <w:tc>
          <w:tcPr>
            <w:tcW w:type="dxa" w:w="2494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Código Nuevo (6 dígitos)</w:t>
            </w:r>
          </w:p>
        </w:tc>
        <w:tc>
          <w:tcPr>
            <w:tcW w:type="dxa" w:w="907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 opc.</w:t>
            </w:r>
          </w:p>
        </w:tc>
        <w:tc>
          <w:tcPr>
            <w:tcW w:type="dxa" w:w="640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Quién ATENDIÓ efectivamente al egresar. Vacío mientras el caso está vigente. Rol 3 de 3.</w:t>
            </w:r>
          </w:p>
        </w:tc>
      </w:tr>
      <w:tr>
        <w:tc>
          <w:tcPr>
            <w:tcW w:type="dxa" w:w="39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04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C_SALIDA</w:t>
            </w:r>
          </w:p>
        </w:tc>
        <w:tc>
          <w:tcPr>
            <w:tcW w:type="dxa" w:w="2948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Causales_Salidas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Causales</w:t>
            </w:r>
          </w:p>
        </w:tc>
        <w:tc>
          <w:tcPr>
            <w:tcW w:type="dxa" w:w="90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 opc.</w:t>
            </w:r>
          </w:p>
        </w:tc>
        <w:tc>
          <w:tcPr>
            <w:tcW w:type="dxa" w:w="640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Causal de egreso. Vacía = el caso sigue vigente. La causal 20 (postergación) no es egreso.</w:t>
            </w:r>
          </w:p>
        </w:tc>
      </w:tr>
      <w:tr>
        <w:tc>
          <w:tcPr>
            <w:tcW w:type="dxa" w:w="39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041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TIPO_PREST</w:t>
            </w:r>
          </w:p>
        </w:tc>
        <w:tc>
          <w:tcPr>
            <w:tcW w:type="dxa" w:w="2948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Tipo_Lista</w:t>
            </w:r>
          </w:p>
        </w:tc>
        <w:tc>
          <w:tcPr>
            <w:tcW w:type="dxa" w:w="2494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Tipo</w:t>
            </w:r>
          </w:p>
        </w:tc>
        <w:tc>
          <w:tcPr>
            <w:tcW w:type="dxa" w:w="907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</w:t>
            </w:r>
          </w:p>
        </w:tc>
        <w:tc>
          <w:tcPr>
            <w:tcW w:type="dxa" w:w="640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Define a qué lista pertenece: 1 = CNE, 3 = PROC, 4 = IQ. Es el criterio que separa las 3 bases.</w:t>
            </w:r>
          </w:p>
        </w:tc>
      </w:tr>
      <w:tr>
        <w:tc>
          <w:tcPr>
            <w:tcW w:type="dxa" w:w="39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04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CIE10_HOMOLOGADO</w:t>
            </w:r>
          </w:p>
        </w:tc>
        <w:tc>
          <w:tcPr>
            <w:tcW w:type="dxa" w:w="2948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CIE10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CODIGO</w:t>
            </w:r>
          </w:p>
        </w:tc>
        <w:tc>
          <w:tcPr>
            <w:tcW w:type="dxa" w:w="907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N:1 opc.</w:t>
            </w:r>
          </w:p>
        </w:tc>
        <w:tc>
          <w:tcPr>
            <w:tcW w:type="dxa" w:w="640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Relación DERIVADA: no viene en SIGTE, se construye homologando el diagnóstico de texto libre.</w:t>
            </w:r>
          </w:p>
        </w:tc>
      </w:tr>
    </w:tbl>
    <w:p>
      <w:pPr>
        <w:spacing w:before="30" w:after="80" w:line="240" w:lineRule="auto"/>
      </w:pPr>
      <w:r>
        <w:rPr>
          <w:b/>
          <w:color w:val="1F4E78"/>
          <w:sz w:val="15"/>
        </w:rPr>
        <w:t xml:space="preserve">Tabla 2.  </w:t>
      </w:r>
      <w:r>
        <w:rPr>
          <w:color w:val="595959"/>
          <w:sz w:val="15"/>
        </w:rPr>
        <w:t>Las 9 relaciones del modelo. La numeración corresponde a las etiquetas del diagrama.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5.  Integridad referencial medida sobre los datos</w:t>
      </w:r>
    </w:p>
    <w:p>
      <w:pPr>
        <w:spacing w:before="0" w:after="80" w:line="240" w:lineRule="auto"/>
        <w:jc w:val="both"/>
      </w:pPr>
      <w:r>
        <w:rPr>
          <w:rFonts w:ascii="Calibri" w:hAnsi="Calibri"/>
          <w:sz w:val="18"/>
        </w:rPr>
        <w:t>Cobertura de cada llave contra su dimensión, por lista. «Match» = filas cuya llave existe en la dimensión, sobre las filas que traen la llave informada. C_SALIDA y E_OTOR_AT vienen vacías en los vigentes, lo que es correcto: por eso se informa aparte el porcentaje con dato.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12" w:color="1F4E78"/>
          <w:bottom w:val="single" w:sz="12" w:color="1F4E78"/>
          <w:left w:val="none" w:sz="0" w:color="auto"/>
          <w:right w:val="none" w:sz="0" w:color="auto"/>
          <w:insideH w:val="single" w:sz="2" w:color="D9D9D9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4876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Relación</w:t>
            </w:r>
          </w:p>
        </w:tc>
        <w:tc>
          <w:tcPr>
            <w:tcW w:type="dxa" w:w="141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CNE match</w:t>
            </w:r>
          </w:p>
        </w:tc>
        <w:tc>
          <w:tcPr>
            <w:tcW w:type="dxa" w:w="147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CNE huérf.</w:t>
            </w:r>
          </w:p>
        </w:tc>
        <w:tc>
          <w:tcPr>
            <w:tcW w:type="dxa" w:w="141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PROC match</w:t>
            </w:r>
          </w:p>
        </w:tc>
        <w:tc>
          <w:tcPr>
            <w:tcW w:type="dxa" w:w="147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PROC huérf.</w:t>
            </w:r>
          </w:p>
        </w:tc>
        <w:tc>
          <w:tcPr>
            <w:tcW w:type="dxa" w:w="1417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IQ match</w:t>
            </w:r>
          </w:p>
        </w:tc>
        <w:tc>
          <w:tcPr>
            <w:tcW w:type="dxa" w:w="147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IQ huérf.</w:t>
            </w:r>
          </w:p>
        </w:tc>
      </w:tr>
      <w:tr>
        <w:tc>
          <w:tcPr>
            <w:tcW w:type="dxa" w:w="487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PRESTA_MIN → Prestaciones_CNE_IQ + Maestro_Prestacio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87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PRESTA_MIN → Prestaciones_CNE_IQ (sola)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0.16%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169.767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87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ESTAB_ORIG → Mantenedor_Establecimiento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87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ESTAB_DEST → Mantenedor_Establecimiento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87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E_OTOR_AT → Mantenedor_Establecimiento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99.94%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99.92%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115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99.52%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122</w:t>
            </w:r>
          </w:p>
        </w:tc>
      </w:tr>
      <w:tr>
        <w:tc>
          <w:tcPr>
            <w:tcW w:type="dxa" w:w="487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C_SALIDA → Causales_Salidas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876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TIPO_PREST → Tipo_Lista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17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876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RUN → Maestro_Pacientes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17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100.0%</w:t>
            </w:r>
          </w:p>
        </w:tc>
        <w:tc>
          <w:tcPr>
            <w:tcW w:type="dxa" w:w="147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30" w:after="80" w:line="240" w:lineRule="auto"/>
      </w:pPr>
      <w:r>
        <w:rPr>
          <w:b/>
          <w:color w:val="1F4E78"/>
          <w:sz w:val="15"/>
        </w:rPr>
        <w:t xml:space="preserve">Tabla 3.  </w:t>
      </w:r>
      <w:r>
        <w:rPr>
          <w:color w:val="595959"/>
          <w:sz w:val="15"/>
        </w:rPr>
        <w:t>Integridad referencial de las tres listas. Huérfanos = filas cuya llave no existe en la dimensión (en rojo cuando hay).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12" w:color="1F4E78"/>
          <w:bottom w:val="single" w:sz="12" w:color="1F4E78"/>
          <w:left w:val="none" w:sz="0" w:color="auto"/>
          <w:right w:val="none" w:sz="0" w:color="auto"/>
          <w:insideH w:val="single" w:sz="2" w:color="D9D9D9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701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Lista</w:t>
            </w:r>
          </w:p>
        </w:tc>
        <w:tc>
          <w:tcPr>
            <w:tcW w:type="dxa" w:w="1928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Filas</w:t>
            </w:r>
          </w:p>
        </w:tc>
        <w:tc>
          <w:tcPr>
            <w:tcW w:type="dxa" w:w="249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C_SALIDA con dato</w:t>
            </w:r>
          </w:p>
        </w:tc>
        <w:tc>
          <w:tcPr>
            <w:tcW w:type="dxa" w:w="2494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E_OTOR_AT con dato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CNE</w:t>
            </w:r>
          </w:p>
        </w:tc>
        <w:tc>
          <w:tcPr>
            <w:tcW w:type="dxa" w:w="1928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245.815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85%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85%</w:t>
            </w:r>
          </w:p>
        </w:tc>
      </w:tr>
      <w:tr>
        <w:tc>
          <w:tcPr>
            <w:tcW w:type="dxa" w:w="1701"/>
            <w:shd w:fill="F7F9FC" w:val="clear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PROC</w:t>
            </w:r>
          </w:p>
        </w:tc>
        <w:tc>
          <w:tcPr>
            <w:tcW w:type="dxa" w:w="1928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170.041</w:t>
            </w:r>
          </w:p>
        </w:tc>
        <w:tc>
          <w:tcPr>
            <w:tcW w:type="dxa" w:w="249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83%</w:t>
            </w:r>
          </w:p>
        </w:tc>
        <w:tc>
          <w:tcPr>
            <w:tcW w:type="dxa" w:w="2494"/>
            <w:shd w:fill="F7F9FC" w:val="clear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83%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IQ</w:t>
            </w:r>
          </w:p>
        </w:tc>
        <w:tc>
          <w:tcPr>
            <w:tcW w:type="dxa" w:w="1928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31.690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80%</w:t>
            </w:r>
          </w:p>
        </w:tc>
        <w:tc>
          <w:tcPr>
            <w:tcW w:type="dxa" w:w="2494"/>
          </w:tcPr>
          <w:p>
            <w:pPr>
              <w:spacing w:before="30" w:after="30" w:line="240" w:lineRule="auto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80%</w:t>
            </w:r>
          </w:p>
        </w:tc>
      </w:tr>
    </w:tbl>
    <w:p>
      <w:pPr>
        <w:spacing w:before="30" w:after="80" w:line="240" w:lineRule="auto"/>
      </w:pPr>
      <w:r>
        <w:rPr>
          <w:b/>
          <w:color w:val="1F4E78"/>
          <w:sz w:val="15"/>
        </w:rPr>
        <w:t xml:space="preserve">Tabla 4.  </w:t>
      </w:r>
      <w:r>
        <w:rPr>
          <w:color w:val="595959"/>
          <w:sz w:val="15"/>
        </w:rPr>
        <w:t>Llaves opcionales: el porcentaje sin dato corresponde a los casos vigentes, que aún no egresan.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6.  Hallazgos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Las llaves estructurales cierran al 100%: RUN, PRESTA_MIN (contra la unión de ambas dimensiones de prestación), ESTAB_ORIG, ESTAB_DEST, C_SALIDA y TIPO_PREST no presentan huérfanos relevantes.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PROC no se puede resolver con Prestaciones_CNE_IQ: solo 0,16% de sus filas calzan (169.767 huérfanas). Esa dimensión no cubre procedimientos; PROC depende de Maestro_Prestacion. De ahí que el modelo tenga dos relaciones distintas sobre la misma columna PRESTA_MIN.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E_OTOR_AT (rol otorgante) es la llave más sucia: cerca de 120 filas por lista no calzan por FORMATO del código, no porque el establecimiento no exista: «133,375.00» (con coma y decimales), «133155.0», «133-165» (formato antiguo), «13396» y «1333969» (dígitos de menos o de más). Es digitación en origen, acotada a menos del 0,1%, y afecta solo al rol otorgante: origen y destino vienen limpios.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10 RUN de las listas no tienen ficha en el Maestro de Pacientes (4 en CNE, 6 en PROC): candidatos a incorporarse en el próximo complemento.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La relación con CIE10 es la única derivada y la única incompleta por diseño, porque depende de la calidad del diagnóstico escrito. Cobertura: CNE 99%, IQ 89%, PROC 78%.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7.  Notas de implementación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Grano del hecho: una fila = una interconsulta (SIGTE_ID único). Las 3 listas son el mismo hecho particionado por TIPO_PREST.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Establecimientos_Comuna.xlsx no aparece en el modelo: es copia de Mantenedor_ Establecimiento. Tabla_Prestacion_Combinada.xlsx tampoco: ningún proceso la usa.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El Maestro de Pacientes es dimensión y a la vez destino: los vigentes sin teléfono se completan desde él, y los teléfonos nuevos que aparecen en SIGTE vuelven al Maestro. Esa bidireccionalidad vive en el ETL, no en el modelo de consulta.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Power BI: las 3 listas como tablas de hechos y las dimensiones con relaciones N:1 de dirección simple. Cargar el Mantenedor tres veces (Origen / Destino / Otorgante) y renombrar sus columnas con sufijo para que no se confundan en el panel de campos.</w:t>
      </w:r>
    </w:p>
    <w:p>
      <w:pPr>
        <w:spacing w:before="0" w:after="60" w:line="240" w:lineRule="auto"/>
        <w:ind w:left="255" w:hanging="255"/>
        <w:jc w:val="both"/>
      </w:pPr>
      <w:r>
        <w:rPr>
          <w:color w:val="1F4E78"/>
          <w:sz w:val="14"/>
        </w:rPr>
        <w:t xml:space="preserve">▪   </w:t>
      </w:r>
      <w:r>
        <w:rPr>
          <w:rFonts w:ascii="Calibri" w:hAnsi="Calibri"/>
          <w:sz w:val="18"/>
        </w:rPr>
        <w:t>Extensión natural pendiente: una dimensión CALENDARIO con dos roles (F_ENTRADA = ingreso, F_SALIDA = egreso), que permitiría comparar demanda y producción sobre el mismo eje temporal.</w:t>
      </w:r>
    </w:p>
    <w:p>
      <w:pPr>
        <w:pStyle w:val="Heading1"/>
        <w:spacing w:before="140" w:after="40" w:line="240" w:lineRule="auto"/>
        <w:pBdr>
          <w:bottom w:val="single" w:sz="4" w:space="3" w:color="1F4E78"/>
        </w:pBdr>
      </w:pPr>
      <w:r>
        <w:rPr>
          <w:rFonts w:ascii="Calibri" w:hAnsi="Calibri"/>
          <w:b/>
          <w:color w:val="1F4E78"/>
          <w:sz w:val="24"/>
        </w:rPr>
        <w:t>8.  Archivos y reproducibilidad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12" w:color="1F4E78"/>
          <w:bottom w:val="single" w:sz="12" w:color="1F4E78"/>
          <w:left w:val="none" w:sz="0" w:color="auto"/>
          <w:right w:val="none" w:sz="0" w:color="auto"/>
          <w:insideH w:val="single" w:sz="2" w:color="D9D9D9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7625"/>
        <w:gridCol w:w="7625"/>
      </w:tblGrid>
      <w:tr>
        <w:trPr>
          <w:tblHeader w:val="true"/>
        </w:trPr>
        <w:tc>
          <w:tcPr>
            <w:tcW w:type="dxa" w:w="3742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Archivo</w:t>
            </w:r>
          </w:p>
        </w:tc>
        <w:tc>
          <w:tcPr>
            <w:tcW w:type="dxa" w:w="11509"/>
            <w:tcBorders>
              <w:bottom w:val="single" w:sz="6" w:color="1F4E78"/>
            </w:tcBorders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/>
                <w:color w:val="1F4E78"/>
                <w:sz w:val="16"/>
              </w:rPr>
              <w:t>Contenido</w:t>
            </w:r>
          </w:p>
        </w:tc>
      </w:tr>
      <w:tr>
        <w:tc>
          <w:tcPr>
            <w:tcW w:type="dxa" w:w="3742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08_Modelo_Relacional_LE.docx</w:t>
            </w:r>
          </w:p>
        </w:tc>
        <w:tc>
          <w:tcPr>
            <w:tcW w:type="dxa" w:w="11509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este informe</w:t>
            </w:r>
          </w:p>
        </w:tc>
      </w:tr>
      <w:tr>
        <w:tc>
          <w:tcPr>
            <w:tcW w:type="dxa" w:w="3742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08_Modelo_Relacional_LE.png</w:t>
            </w:r>
          </w:p>
        </w:tc>
        <w:tc>
          <w:tcPr>
            <w:tcW w:type="dxa" w:w="11509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diagrama estrella (imagen)</w:t>
            </w:r>
          </w:p>
        </w:tc>
      </w:tr>
      <w:tr>
        <w:tc>
          <w:tcPr>
            <w:tcW w:type="dxa" w:w="3742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08_Modelo_Relacional_LE.mermaid</w:t>
            </w:r>
          </w:p>
        </w:tc>
        <w:tc>
          <w:tcPr>
            <w:tcW w:type="dxa" w:w="11509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diagrama como código, editable y versionable (erDiagram)</w:t>
            </w:r>
          </w:p>
        </w:tc>
      </w:tr>
      <w:tr>
        <w:tc>
          <w:tcPr>
            <w:tcW w:type="dxa" w:w="3742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08_Modelo_Relacional_LE.py</w:t>
            </w:r>
          </w:p>
        </w:tc>
        <w:tc>
          <w:tcPr>
            <w:tcW w:type="dxa" w:w="11509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generador del diagrama (graphviz)</w:t>
            </w:r>
          </w:p>
        </w:tc>
      </w:tr>
      <w:tr>
        <w:tc>
          <w:tcPr>
            <w:tcW w:type="dxa" w:w="3742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08_Integridad_Referencial_LE.json</w:t>
            </w:r>
          </w:p>
        </w:tc>
        <w:tc>
          <w:tcPr>
            <w:tcW w:type="dxa" w:w="11509"/>
          </w:tcPr>
          <w:p>
            <w:pPr>
              <w:spacing w:before="30" w:after="3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medición de las llaves, dato a dato</w:t>
            </w:r>
          </w:p>
        </w:tc>
      </w:tr>
    </w:tbl>
    <w:p>
      <w:pPr>
        <w:spacing w:before="30" w:after="80" w:line="240" w:lineRule="auto"/>
      </w:pPr>
      <w:r>
        <w:rPr>
          <w:b/>
          <w:color w:val="1F4E78"/>
          <w:sz w:val="15"/>
        </w:rPr>
        <w:t xml:space="preserve">Tabla 5.  </w:t>
      </w:r>
      <w:r>
        <w:rPr>
          <w:color w:val="595959"/>
          <w:sz w:val="15"/>
        </w:rPr>
        <w:t>Archivos del modelo, en Diccionario_Datos y DIMENSIONES.</w:t>
      </w:r>
    </w:p>
    <w:p>
      <w:pPr>
        <w:spacing w:before="0" w:after="0" w:line="240" w:lineRule="auto"/>
        <w:jc w:val="both"/>
      </w:pPr>
      <w:r>
        <w:rPr>
          <w:rFonts w:ascii="Calibri" w:hAnsi="Calibri"/>
          <w:color w:val="595959"/>
          <w:sz w:val="16"/>
        </w:rPr>
        <w:t>Informe autogenerado: el diagrama y las cifras de integridad se calculan leyendo las bases y las dimensiones reales, de modo que no pueden quedar desfasados del dato. Se regenera con 08_Modelo_Relacional_LE.py y fk.py. Corte 15-07-2026.</w:t>
      </w:r>
    </w:p>
    <w:sectPr>
      <w:headerReference w:type="default" r:id="rId7"/>
      <w:footerReference w:type="default" r:id="rId12"/>
      <w:footerReference w:type="first" r:id="rId13"/>
      <w:pgSz w:w="16838" w:h="11906" w:orient="landscape"/>
      <w:pgMar w:top="680" w:right="794" w:bottom="680" w:left="794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95959"/>
        <w:sz w:val="15"/>
      </w:rPr>
      <w:t xml:space="preserve">Modelo Relacional LE · SS Chiloé · corte 15-07-2026        </w:t>
    </w:r>
    <w:r>
      <w:rPr>
        <w:color w:val="595959"/>
        <w:sz w:val="15"/>
      </w:rPr>
    </w:r>
    <w:fldSimple w:instr="PAGE">
      <w:r>
        <w:rPr>
          <w:sz w:val="15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95959"/>
        <w:sz w:val="15"/>
      </w:rPr>
      <w:t xml:space="preserve">Modelo Relacional LE · SS Chiloé · corte 15-07-2026        </w:t>
    </w:r>
    <w:r>
      <w:rPr>
        <w:color w:val="595959"/>
        <w:sz w:val="15"/>
      </w:rPr>
    </w:r>
    <w:fldSimple w:instr="PAGE">
      <w:r>
        <w:rPr>
          <w:sz w:val="15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4" w:space="2" w:color="BFBFBF"/>
      </w:pBdr>
    </w:pPr>
    <w:r/>
  </w:p>
  <w:p>
    <w:pPr>
      <w:tabs>
        <w:tab w:pos="15250" w:val="right"/>
      </w:tabs>
      <w:spacing w:before="0" w:after="0" w:line="240" w:lineRule="auto"/>
      <w:jc w:val="right"/>
    </w:pPr>
    <w:r>
      <w:rPr>
        <w:sz w:val="15"/>
        <w:szCs w:val="15"/>
        <w:color w:val="595959"/>
      </w:rPr>
      <w:t xml:space="preserve">Servicio de Salud Chiloé · Subdirección de Gestión Asistencial</w:t>
    </w:r>
    <w:r>
      <w:tab/>
    </w:r>
    <w:r>
      <w:drawing>
        <wp:inline distT="0" distB="0" distL="0" distR="0">
          <wp:extent cx="432000" cy="43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0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525671bed68fc6290a614995e1d064e2432c3fa.png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A35F896B397F44B7639DF904550F03" ma:contentTypeVersion="15" ma:contentTypeDescription="Crear nuevo documento." ma:contentTypeScope="" ma:versionID="a60c0acd0ae2cea4e8ae8d3328b9be5d">
  <xsd:schema xmlns:xsd="http://www.w3.org/2001/XMLSchema" xmlns:xs="http://www.w3.org/2001/XMLSchema" xmlns:p="http://schemas.microsoft.com/office/2006/metadata/properties" xmlns:ns2="5144829d-11f6-4711-89a1-f1b793327167" xmlns:ns3="082c0dab-c61e-4965-afd5-3a289752034c" targetNamespace="http://schemas.microsoft.com/office/2006/metadata/properties" ma:root="true" ma:fieldsID="5967b91bfaf4532e72c0bf85aa3547f1" ns2:_="" ns3:_="">
    <xsd:import namespace="5144829d-11f6-4711-89a1-f1b793327167"/>
    <xsd:import namespace="082c0dab-c61e-4965-afd5-3a2897520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ategorizaci_x00f3_nRay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OBSERVACION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4829d-11f6-4711-89a1-f1b793327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Categorizaci_x00f3_nRayen" ma:index="15" nillable="true" ma:displayName="Categorización Rayen" ma:default="Media" ma:format="Dropdown" ma:internalName="Categorizaci_x00f3_nRayen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fb2b1cf-4bb2-458e-9c5d-43b5d2bf4a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OBSERVACIONES" ma:index="21" nillable="true" ma:displayName="OBSERVACIONES" ma:format="Dropdown" ma:internalName="OBSERVACIONES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c0dab-c61e-4965-afd5-3a28975203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d85579-4151-40d7-9ad4-cefb807faf63}" ma:internalName="TaxCatchAll" ma:showField="CatchAllData" ma:web="082c0dab-c61e-4965-afd5-3a28975203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zaci_x00f3_nRayen xmlns="5144829d-11f6-4711-89a1-f1b793327167">Media</Categorizaci_x00f3_nRayen>
    <lcf76f155ced4ddcb4097134ff3c332f xmlns="5144829d-11f6-4711-89a1-f1b793327167">
      <Terms xmlns="http://schemas.microsoft.com/office/infopath/2007/PartnerControls"/>
    </lcf76f155ced4ddcb4097134ff3c332f>
    <OBSERVACIONES xmlns="5144829d-11f6-4711-89a1-f1b793327167" xsi:nil="true"/>
    <TaxCatchAll xmlns="082c0dab-c61e-4965-afd5-3a289752034c" xsi:nil="true"/>
  </documentManagement>
</p:properties>
</file>

<file path=customXml/itemProps1.xml><?xml version="1.0" encoding="utf-8"?>
<ds:datastoreItem xmlns:ds="http://schemas.openxmlformats.org/officeDocument/2006/customXml" ds:itemID="{68BF2D6F-E878-434C-BBE7-DF7529532600}"/>
</file>

<file path=customXml/itemProps2.xml><?xml version="1.0" encoding="utf-8"?>
<ds:datastoreItem xmlns:ds="http://schemas.openxmlformats.org/officeDocument/2006/customXml" ds:itemID="{DA6D30F1-1261-4C45-920E-EC364037D069}"/>
</file>

<file path=customXml/itemProps3.xml><?xml version="1.0" encoding="utf-8"?>
<ds:datastoreItem xmlns:ds="http://schemas.openxmlformats.org/officeDocument/2006/customXml" ds:itemID="{0D98C169-0B99-4308-AF60-09EA5E49DA8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2026-07-15T16:27:11Z</dcterms:created>
  <dcterms:modified xsi:type="dcterms:W3CDTF">2026-07-15T16:27:11Z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0x0101002FA35F896B397F44B7639DF904550F03</vt:lpwstr>
  </property>
  <property fmtid="{D5CDD505-2E9C-101B-9397-08002B2CF9AE}" pid="3" name="MediaServiceImageTags">
    <vt:lpwstr/>
  </property>
</Properties>
</file>