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Travel &amp; Expense Policy</w:t>
      </w:r>
    </w:p>
    <w:p>
      <w:r>
        <w:t>Effective: January 1, 2025</w:t>
      </w:r>
    </w:p>
    <w:p/>
    <w:p>
      <w:pPr>
        <w:pStyle w:val="Heading2"/>
      </w:pPr>
      <w:r>
        <w:t>Purpose</w:t>
      </w:r>
    </w:p>
    <w:p>
      <w:r>
        <w:t>This policy establishes guidelines for business travel and expense reimbursement.</w:t>
      </w:r>
    </w:p>
    <w:p>
      <w:pPr>
        <w:pStyle w:val="Heading2"/>
      </w:pPr>
      <w:r>
        <w:t>Travel Authorization</w:t>
      </w:r>
    </w:p>
    <w:p>
      <w:r>
        <w:t>• Domestic travel under $2,000 requires manager approval</w:t>
      </w:r>
    </w:p>
    <w:p>
      <w:r>
        <w:t>• Domestic travel over $2,000 requires VP approval</w:t>
      </w:r>
    </w:p>
    <w:p>
      <w:r>
        <w:t>• International travel requires CEO approval</w:t>
      </w:r>
    </w:p>
    <w:p>
      <w:r>
        <w:t>• Book travel at least 14 days in advance when possible</w:t>
      </w:r>
    </w:p>
    <w:p>
      <w:pPr>
        <w:pStyle w:val="Heading2"/>
      </w:pPr>
      <w:r>
        <w:t>Airfare</w:t>
      </w:r>
    </w:p>
    <w:p>
      <w:r>
        <w:t>• Book economy class for flights under 6 hours</w:t>
      </w:r>
    </w:p>
    <w:p>
      <w:r>
        <w:t>• Business class permitted for international flights over 6 hours</w:t>
      </w:r>
    </w:p>
    <w:p>
      <w:r>
        <w:t>• Use preferred airline partners when rates are within 10% of lowest fare</w:t>
      </w:r>
    </w:p>
    <w:p>
      <w:pPr>
        <w:pStyle w:val="Heading2"/>
      </w:pPr>
      <w:r>
        <w:t>Lodging</w:t>
      </w:r>
    </w:p>
    <w:p>
      <w:r>
        <w:t>• Maximum nightly rate: $200 (major cities), $150 (other locations)</w:t>
      </w:r>
    </w:p>
    <w:p>
      <w:r>
        <w:t>• Use preferred hotel chains when available</w:t>
      </w:r>
    </w:p>
    <w:p>
      <w:r>
        <w:t>• Extended stays (5+ nights) may use Airbnb with approval</w:t>
      </w:r>
    </w:p>
    <w:p>
      <w:pPr>
        <w:pStyle w:val="Heading2"/>
      </w:pPr>
      <w:r>
        <w:t>Meals &amp; Entertainment</w:t>
      </w:r>
    </w:p>
    <w:p>
      <w:r>
        <w:t>Per diem rates (no receipts required):</w:t>
      </w:r>
    </w:p>
    <w:p>
      <w:r>
        <w:t>• Breakfast: $20</w:t>
      </w:r>
    </w:p>
    <w:p>
      <w:r>
        <w:t>• Lunch: $25</w:t>
      </w:r>
    </w:p>
    <w:p>
      <w:r>
        <w:t>• Dinner: $45</w:t>
      </w:r>
    </w:p>
    <w:p>
      <w:r>
        <w:t>Client entertainment requires pre-approval for expenses over $150.</w:t>
      </w:r>
    </w:p>
    <w:p>
      <w:pPr>
        <w:pStyle w:val="Heading2"/>
      </w:pPr>
      <w:r>
        <w:t>Ground Transportation</w:t>
      </w:r>
    </w:p>
    <w:p>
      <w:r>
        <w:t>• Rental cars: intermediate size or below</w:t>
      </w:r>
    </w:p>
    <w:p>
      <w:r>
        <w:t>• Uber/Lyft preferred over taxis</w:t>
      </w:r>
    </w:p>
    <w:p>
      <w:r>
        <w:t>• Personal vehicle: $0.67/mile reimbursement</w:t>
      </w:r>
    </w:p>
    <w:p>
      <w:pPr>
        <w:pStyle w:val="Heading2"/>
      </w:pPr>
      <w:r>
        <w:t>Expense Reporting</w:t>
      </w:r>
    </w:p>
    <w:p>
      <w:r>
        <w:t>• Submit expense reports within 30 days via Concur</w:t>
      </w:r>
    </w:p>
    <w:p>
      <w:r>
        <w:t>• Receipts required for expenses over $25</w:t>
      </w:r>
    </w:p>
    <w:p>
      <w:r>
        <w:t>• Reimbursement processed within 2 pay cycles</w:t>
      </w:r>
    </w:p>
    <w:p/>
    <w:p>
      <w:r>
        <w:t>Questions: Contact Finance at finance@exampledental.com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