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D6" w:rsidRDefault="003B45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5D6">
        <w:rPr>
          <w:rFonts w:ascii="Times New Roman" w:hAnsi="Times New Roman" w:cs="Times New Roman"/>
          <w:b/>
          <w:sz w:val="24"/>
          <w:szCs w:val="24"/>
          <w:lang w:val="en-US"/>
        </w:rPr>
        <w:t>Paul Carlos T. Lima I</w:t>
      </w:r>
      <w:r w:rsidRPr="003B45D6">
        <w:rPr>
          <w:rFonts w:ascii="Times New Roman" w:hAnsi="Times New Roman" w:cs="Times New Roman"/>
          <w:b/>
          <w:sz w:val="24"/>
          <w:szCs w:val="24"/>
          <w:lang w:val="en-US"/>
        </w:rPr>
        <w:br/>
        <w:t>FA7 – Statistical Theory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3B45D6" w:rsidRDefault="003B45D6" w:rsidP="003B45D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3B45D6">
        <w:rPr>
          <w:rFonts w:ascii="Times New Roman" w:hAnsi="Times New Roman" w:cs="Times New Roman"/>
          <w:b/>
          <w:sz w:val="30"/>
          <w:szCs w:val="30"/>
          <w:lang w:val="en-US"/>
        </w:rPr>
        <w:t>Comparison of its Conditional and Critical Recall of Eye Movements</w:t>
      </w:r>
    </w:p>
    <w:p w:rsidR="003B45D6" w:rsidRDefault="003B45D6" w:rsidP="003B45D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730E" w:rsidRDefault="003B45D6" w:rsidP="003B45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5D6">
        <w:rPr>
          <w:rFonts w:ascii="Times New Roman" w:hAnsi="Times New Roman" w:cs="Times New Roman"/>
          <w:b/>
          <w:sz w:val="24"/>
          <w:szCs w:val="24"/>
          <w:lang w:val="en-US"/>
        </w:rPr>
        <w:t>Assumption Checks</w:t>
      </w:r>
    </w:p>
    <w:p w:rsidR="003B45D6" w:rsidRDefault="003B45D6" w:rsidP="003B45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45D6" w:rsidRDefault="003B45D6" w:rsidP="003B45D6"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>Assumption 1.</w:t>
      </w:r>
      <w:r w:rsidR="003B5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5D50">
        <w:t xml:space="preserve">The </w:t>
      </w:r>
      <w:r w:rsidR="003B5D50">
        <w:t>dependent variable (</w:t>
      </w:r>
      <w:proofErr w:type="spellStart"/>
      <w:r w:rsidR="003B5D50">
        <w:t>CriticalRecall</w:t>
      </w:r>
      <w:proofErr w:type="spellEnd"/>
      <w:r w:rsidR="003B5D50">
        <w:t>)</w:t>
      </w:r>
      <w:r w:rsidR="003B5D50">
        <w:t xml:space="preserve"> is measured at the continuous level.</w:t>
      </w:r>
    </w:p>
    <w:p w:rsidR="003B5D50" w:rsidRDefault="003B5D50" w:rsidP="003B45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D50" w:rsidRDefault="003B5D50" w:rsidP="003B5D50"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Assumption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 xml:space="preserve">The </w:t>
      </w:r>
      <w:r>
        <w:t xml:space="preserve">independent </w:t>
      </w:r>
      <w:r>
        <w:t>variable (</w:t>
      </w:r>
      <w:r>
        <w:t>Condition</w:t>
      </w:r>
      <w:r>
        <w:t xml:space="preserve">) </w:t>
      </w:r>
      <w:r>
        <w:t>contains of two category of independent groups which are Fixed and Horizontal.</w:t>
      </w:r>
    </w:p>
    <w:p w:rsidR="003B5D50" w:rsidRDefault="003B5D50" w:rsidP="003B5D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43FD" w:rsidRDefault="001043FD" w:rsidP="003B5D50">
      <w:pPr>
        <w:rPr>
          <w:b/>
        </w:rPr>
      </w:pP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Assumption </w:t>
      </w:r>
      <w:r w:rsidR="00B4130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3FD">
        <w:rPr>
          <w:b/>
        </w:rPr>
        <w:t>Outliers</w:t>
      </w:r>
      <w:r w:rsidRPr="001043FD">
        <w:rPr>
          <w:b/>
        </w:rPr>
        <w:t>.</w:t>
      </w:r>
    </w:p>
    <w:p w:rsidR="00B41306" w:rsidRDefault="00B41306" w:rsidP="003B5D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30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48E353" wp14:editId="1F1F9CB4">
            <wp:extent cx="4658375" cy="350568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06" w:rsidRDefault="00CB0606" w:rsidP="003B5D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060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2922B48" wp14:editId="3BBCB472">
            <wp:extent cx="4429743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06" w:rsidRDefault="00CB0606" w:rsidP="00CB060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There are no significant outliers in the two groups of independent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variable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Condition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) in terms of the dependent variable (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Critical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Recalld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), as assessed by visual inspection of boxplots.</w:t>
      </w:r>
    </w:p>
    <w:p w:rsidR="001043FD" w:rsidRDefault="003B5D50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Assumption </w:t>
      </w:r>
      <w:r w:rsidR="00B4130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 Normality</w:t>
      </w:r>
      <w:r w:rsidR="001043F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</w:t>
      </w:r>
      <w:r w:rsidR="001043FD" w:rsidRP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The dependent variable (</w:t>
      </w:r>
      <w:proofErr w:type="spellStart"/>
      <w:r w:rsidR="00B41306">
        <w:rPr>
          <w:rFonts w:ascii="Times New Roman" w:eastAsia="Times New Roman" w:hAnsi="Times New Roman" w:cs="Times New Roman"/>
          <w:sz w:val="24"/>
          <w:szCs w:val="24"/>
          <w:lang w:eastAsia="en-PH"/>
        </w:rPr>
        <w:t>CriticalRecall</w:t>
      </w:r>
      <w:proofErr w:type="spellEnd"/>
      <w:r w:rsid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) for each group (</w:t>
      </w:r>
      <w:r w:rsidR="00B41306">
        <w:rPr>
          <w:rFonts w:ascii="Times New Roman" w:eastAsia="Times New Roman" w:hAnsi="Times New Roman" w:cs="Times New Roman"/>
          <w:sz w:val="24"/>
          <w:szCs w:val="24"/>
          <w:lang w:eastAsia="en-PH"/>
        </w:rPr>
        <w:t>Condition</w:t>
      </w:r>
      <w:r w:rsid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) is normally distributed (</w:t>
      </w:r>
      <w:r w:rsidR="001043FD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p &gt; 0.05</w:t>
      </w:r>
      <w:r w:rsid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), as assessed by Shapiro-Wilk test.</w:t>
      </w:r>
    </w:p>
    <w:p w:rsidR="003B5D50" w:rsidRDefault="003B5D50" w:rsidP="003B45D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:rsidR="003B5D50" w:rsidRDefault="003B5D50" w:rsidP="003B45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5D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53E9D3" wp14:editId="6D1E2F81">
            <wp:extent cx="3029373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D" w:rsidRDefault="001043FD" w:rsidP="003B45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43FD" w:rsidRPr="001043FD" w:rsidRDefault="001043FD" w:rsidP="001043FD">
      <w:pPr>
        <w:rPr>
          <w:rFonts w:ascii="Helvetica" w:eastAsia="Times New Roman" w:hAnsi="Helvetica" w:cs="Times New Roman"/>
          <w:color w:val="000000"/>
          <w:sz w:val="20"/>
          <w:szCs w:val="20"/>
          <w:lang w:eastAsia="en-PH"/>
        </w:rPr>
      </w:pP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Assumption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Homogeneity of variances. </w:t>
      </w:r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There is equality of variances between groups (Fixed, Horizontal) on their number of Recalled words after the memory retrieval task (</w:t>
      </w:r>
      <w:proofErr w:type="spellStart"/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CriticalRecall</w:t>
      </w:r>
      <w:proofErr w:type="spellEnd"/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), as assessed by </w:t>
      </w:r>
      <w:proofErr w:type="spellStart"/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Levene’s</w:t>
      </w:r>
      <w:proofErr w:type="spellEnd"/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 test of equality of variances.</w:t>
      </w:r>
    </w:p>
    <w:p w:rsidR="00B41306" w:rsidRDefault="00B4130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41306" w:rsidRDefault="00B41306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41306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drawing>
          <wp:inline distT="0" distB="0" distL="0" distR="0" wp14:anchorId="11EFBB20" wp14:editId="244BE20E">
            <wp:extent cx="3791479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6" w:rsidRPr="00B41306" w:rsidRDefault="00B41306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41306">
        <w:rPr>
          <w:rFonts w:ascii="Times New Roman" w:eastAsia="Times New Roman" w:hAnsi="Times New Roman" w:cs="Times New Roman"/>
          <w:b/>
          <w:sz w:val="30"/>
          <w:szCs w:val="30"/>
          <w:lang w:eastAsia="en-PH"/>
        </w:rPr>
        <w:t>Computation</w:t>
      </w:r>
    </w:p>
    <w:p w:rsidR="001043FD" w:rsidRDefault="001043FD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drawing>
          <wp:inline distT="0" distB="0" distL="0" distR="0" wp14:anchorId="0852AAAB" wp14:editId="6E12CD19">
            <wp:extent cx="5915851" cy="115268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D" w:rsidRDefault="001043FD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1043FD" w:rsidRDefault="001043FD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This table shows the output for the independent samples t-test.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</w:t>
      </w:r>
      <w:r w:rsidRP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he results suggest that there is a statistically significant difference between the "Horizontal" and "Fixation" conditions in terms of their impact on "</w:t>
      </w:r>
      <w:proofErr w:type="spellStart"/>
      <w:r w:rsidRP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CriticalRecall</w:t>
      </w:r>
      <w:proofErr w:type="spellEnd"/>
      <w:r w:rsidRP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." The "Horizontal" condition is associated with higher mean recall scores compared to the "Fixation" condition, with a mean difference of 4.412 units. This difference is statistically significant at the 0.05 significance level, as indicated by the p-value of 0.007. The 95% confidence interval provides a range of values within which we can reasonably expect the true mean difference to lie.</w:t>
      </w:r>
    </w:p>
    <w:p w:rsidR="001043FD" w:rsidRDefault="00B41306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41306">
        <w:rPr>
          <w:rFonts w:ascii="Times New Roman" w:eastAsia="Times New Roman" w:hAnsi="Times New Roman" w:cs="Times New Roman"/>
          <w:sz w:val="24"/>
          <w:szCs w:val="24"/>
          <w:lang w:eastAsia="en-PH"/>
        </w:rPr>
        <w:drawing>
          <wp:inline distT="0" distB="0" distL="0" distR="0" wp14:anchorId="1FF002EC" wp14:editId="2040DD74">
            <wp:extent cx="4258269" cy="3458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72" w:rsidRDefault="00052372" w:rsidP="003B45D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52372" w:rsidRDefault="00052372" w:rsidP="003B45D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052372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Short Report</w:t>
      </w:r>
    </w:p>
    <w:p w:rsidR="001043FD" w:rsidRPr="003B45D6" w:rsidRDefault="00052372" w:rsidP="003B45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2372">
        <w:rPr>
          <w:rFonts w:ascii="Times New Roman" w:hAnsi="Times New Roman" w:cs="Times New Roman"/>
          <w:sz w:val="24"/>
          <w:szCs w:val="24"/>
          <w:lang w:val="en-US"/>
        </w:rPr>
        <w:t>In conclusion, these findings suggest that performing horizontal eye movements during the memory retrieval task significantly enhances "</w:t>
      </w:r>
      <w:proofErr w:type="spellStart"/>
      <w:r w:rsidRPr="00052372">
        <w:rPr>
          <w:rFonts w:ascii="Times New Roman" w:hAnsi="Times New Roman" w:cs="Times New Roman"/>
          <w:sz w:val="24"/>
          <w:szCs w:val="24"/>
          <w:lang w:val="en-US"/>
        </w:rPr>
        <w:t>CriticalRecall</w:t>
      </w:r>
      <w:proofErr w:type="spellEnd"/>
      <w:r w:rsidRPr="00052372">
        <w:rPr>
          <w:rFonts w:ascii="Times New Roman" w:hAnsi="Times New Roman" w:cs="Times New Roman"/>
          <w:sz w:val="24"/>
          <w:szCs w:val="24"/>
          <w:lang w:val="en-US"/>
        </w:rPr>
        <w:t>" compared to maintaining a fixed gaze on a central point. The evidence supports the hypothesis that horizontal eye movements have a positive effect on memory retrieval in this experimental setting. Further research may be warranted to explore the underlying mechanisms and implications of this effect.</w:t>
      </w:r>
    </w:p>
    <w:sectPr w:rsidR="001043FD" w:rsidRPr="003B4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D6"/>
    <w:rsid w:val="00052372"/>
    <w:rsid w:val="001043FD"/>
    <w:rsid w:val="003B45D6"/>
    <w:rsid w:val="003B5D50"/>
    <w:rsid w:val="0071590E"/>
    <w:rsid w:val="00B41306"/>
    <w:rsid w:val="00CB0606"/>
    <w:rsid w:val="00D5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554D"/>
  <w15:chartTrackingRefBased/>
  <w15:docId w15:val="{0B886C50-B055-434F-84E5-B70B4F5D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EdTECH 3rd Floor</dc:creator>
  <cp:keywords/>
  <dc:description/>
  <cp:lastModifiedBy>EdTECH 3rd Floor</cp:lastModifiedBy>
  <cp:revision>2</cp:revision>
  <dcterms:created xsi:type="dcterms:W3CDTF">2023-11-13T01:58:00Z</dcterms:created>
  <dcterms:modified xsi:type="dcterms:W3CDTF">2023-11-13T02:51:00Z</dcterms:modified>
</cp:coreProperties>
</file>