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309" w:sz="6" w:space="6"/>
          <w:bottom w:val="single" w:color="B45309" w:sz="6" w:space="6"/>
          <w:left w:val="single" w:color="B45309" w:sz="6" w:space="6"/>
          <w:right w:val="single" w:color="B45309" w:sz="6" w:space="6"/>
        </w:pBdr>
        <w:shd w:fill="FFFBEB" w:val="clear"/>
        <w:spacing w:after="320" w:line="240"/>
        <w:jc w:val="both"/>
      </w:pPr>
      <w:r>
        <w:rPr>
          <w:i/>
          <w:iCs/>
          <w:sz w:val="18"/>
          <w:szCs w:val="18"/>
        </w:rPr>
        <w:t xml:space="preserve">DRAFT FOR REVIEW BY LEGAL COUNSEL. This document was prepared as a working draft from standard startup formation practice. It has not been reviewed by a licensed attorney and is not legal advice. Have counsel review and adapt it before signing. Bracketed items must be completed.</w:t>
      </w:r>
    </w:p>
    <w:p>
      <w:pPr>
        <w:spacing w:after="120" w:line="276"/>
        <w:jc w:val="center"/>
      </w:pPr>
      <w:r>
        <w:rPr>
          <w:b/>
          <w:bCs/>
          <w:caps/>
          <w:sz w:val="22"/>
          <w:szCs w:val="22"/>
        </w:rPr>
        <w:t xml:space="preserve">Action by Unanimous Written Consent of the Board of Directors of</w:t>
      </w:r>
    </w:p>
    <w:p>
      <w:pPr>
        <w:spacing w:after="360" w:line="276"/>
        <w:jc w:val="center"/>
      </w:pPr>
      <w:r>
        <w:rPr>
          <w:b/>
          <w:bCs/>
          <w:sz w:val="22"/>
          <w:szCs w:val="22"/>
        </w:rPr>
        <w:t xml:space="preserve">iLaunchify, Inc.
In Lieu of an Organizational Meeting</w:t>
      </w:r>
    </w:p>
    <w:p>
      <w:pPr>
        <w:spacing w:after="180" w:line="276"/>
        <w:jc w:val="both"/>
      </w:pPr>
      <w:r>
        <w:rPr>
          <w:sz w:val="22"/>
          <w:szCs w:val="22"/>
        </w:rPr>
        <w:t xml:space="preserve">The undersigned, being all of the members of the Board of Directors (the "Board") of iLaunchify, Inc., a Delaware corporation (the "Corporation"), acting pursuant to Section 141(f) of the General Corporation Law of the State of Delaware, hereby adopt the following resolutions by unanimous written consent, effective as of [DATE OF INCORPORATION]:</w:t>
      </w:r>
    </w:p>
    <w:p>
      <w:pPr>
        <w:keepNext/>
        <w:spacing w:after="140" w:before="260" w:line="276"/>
      </w:pPr>
      <w:r>
        <w:rPr>
          <w:b/>
          <w:bCs/>
          <w:sz w:val="22"/>
          <w:szCs w:val="22"/>
        </w:rPr>
        <w:t xml:space="preserve">1. Ratification of Incorporation</w:t>
      </w:r>
    </w:p>
    <w:p>
      <w:pPr>
        <w:spacing w:after="180" w:line="276"/>
        <w:jc w:val="both"/>
      </w:pPr>
      <w:r>
        <w:rPr>
          <w:sz w:val="22"/>
          <w:szCs w:val="22"/>
        </w:rPr>
        <w:t xml:space="preserve">RESOLVED, that the Certificate of Incorporation of the Corporation, filed with the Secretary of State of the State of Delaware on [DATE OF INCORPORATION], and all actions taken by the incorporator in connection with the organization of the Corporation, are hereby ratified, approved and confirmed in all respects.</w:t>
      </w:r>
    </w:p>
    <w:p>
      <w:pPr>
        <w:keepNext/>
        <w:spacing w:after="140" w:before="260" w:line="276"/>
      </w:pPr>
      <w:r>
        <w:rPr>
          <w:b/>
          <w:bCs/>
          <w:sz w:val="22"/>
          <w:szCs w:val="22"/>
        </w:rPr>
        <w:t xml:space="preserve">2. Adoption of Bylaws</w:t>
      </w:r>
    </w:p>
    <w:p>
      <w:pPr>
        <w:spacing w:after="180" w:line="276"/>
        <w:jc w:val="both"/>
      </w:pPr>
      <w:r>
        <w:rPr>
          <w:sz w:val="22"/>
          <w:szCs w:val="22"/>
        </w:rPr>
        <w:t xml:space="preserve">RESOLVED, that the Bylaws presented to the Board and attached to the records of the Corporation are hereby adopted as the Bylaws of the Corporation, and the Secretary is directed to insert a copy of such Bylaws in the minute book of the Corporation.</w:t>
      </w:r>
    </w:p>
    <w:p>
      <w:pPr>
        <w:keepNext/>
        <w:spacing w:after="140" w:before="260" w:line="276"/>
      </w:pPr>
      <w:r>
        <w:rPr>
          <w:b/>
          <w:bCs/>
          <w:sz w:val="22"/>
          <w:szCs w:val="22"/>
        </w:rPr>
        <w:t xml:space="preserve">3. Election of Officers</w:t>
      </w:r>
    </w:p>
    <w:p>
      <w:pPr>
        <w:spacing w:after="180" w:line="276"/>
        <w:jc w:val="both"/>
      </w:pPr>
      <w:r>
        <w:rPr>
          <w:sz w:val="22"/>
          <w:szCs w:val="22"/>
        </w:rPr>
        <w:t xml:space="preserve">RESOLVED, that the following persons are hereby elected to the offices set forth opposite their respective names, to serve at the pleasure of the Board and until their successors are duly elected and qualified: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FF3" w:val="clear"/>
            <w:tcMar>
              <w:top w:type="dxa" w:w="80"/>
              <w:left w:type="dxa" w:w="110"/>
              <w:bottom w:type="dxa" w:w="80"/>
              <w:right w:type="dxa" w:w="110"/>
            </w:tcMar>
          </w:tcPr>
          <w:p>
            <w:pPr>
              <w:spacing w:after="0" w:line="240"/>
              <w:jc w:val="left"/>
            </w:pPr>
            <w:r>
              <w:rPr>
                <w:b/>
                <w:bCs/>
                <w:sz w:val="19"/>
                <w:szCs w:val="19"/>
              </w:rPr>
              <w:t xml:space="preserve">Name</w:t>
            </w:r>
          </w:p>
        </w:tc>
        <w:tc>
          <w:tcPr>
            <w:tcW w:type="dxa" w:w="4680"/>
            <w:shd w:fill="EDEFF3" w:val="clear"/>
            <w:tcMar>
              <w:top w:type="dxa" w:w="80"/>
              <w:left w:type="dxa" w:w="110"/>
              <w:bottom w:type="dxa" w:w="80"/>
              <w:right w:type="dxa" w:w="110"/>
            </w:tcMar>
          </w:tcPr>
          <w:p>
            <w:pPr>
              <w:spacing w:after="0" w:line="240"/>
              <w:jc w:val="left"/>
            </w:pPr>
            <w:r>
              <w:rPr>
                <w:b/>
                <w:bCs/>
                <w:sz w:val="19"/>
                <w:szCs w:val="19"/>
              </w:rPr>
              <w:t xml:space="preserve">Office</w:t>
            </w:r>
          </w:p>
        </w:tc>
      </w:tr>
      <w:tr>
        <w:tc>
          <w:tcPr>
            <w:tcW w:type="dxa" w:w="4680"/>
            <w:tcMar>
              <w:top w:type="dxa" w:w="80"/>
              <w:left w:type="dxa" w:w="110"/>
              <w:bottom w:type="dxa" w:w="80"/>
              <w:right w:type="dxa" w:w="110"/>
            </w:tcMar>
          </w:tcPr>
          <w:p>
            <w:pPr>
              <w:spacing w:after="0" w:line="240"/>
              <w:jc w:val="left"/>
            </w:pPr>
            <w:r>
              <w:rPr>
                <w:sz w:val="19"/>
                <w:szCs w:val="19"/>
              </w:rPr>
              <w:t xml:space="preserve">Pavel Georgiev</w:t>
            </w:r>
          </w:p>
        </w:tc>
        <w:tc>
          <w:tcPr>
            <w:tcW w:type="dxa" w:w="4680"/>
            <w:tcMar>
              <w:top w:type="dxa" w:w="80"/>
              <w:left w:type="dxa" w:w="110"/>
              <w:bottom w:type="dxa" w:w="80"/>
              <w:right w:type="dxa" w:w="110"/>
            </w:tcMar>
          </w:tcPr>
          <w:p>
            <w:pPr>
              <w:spacing w:after="0" w:line="240"/>
              <w:jc w:val="left"/>
            </w:pPr>
            <w:r>
              <w:rPr>
                <w:sz w:val="19"/>
                <w:szCs w:val="19"/>
              </w:rPr>
              <w:t xml:space="preserve">Chief Executive Officer and Treasurer</w:t>
            </w:r>
          </w:p>
        </w:tc>
      </w:tr>
      <w:tr>
        <w:tc>
          <w:tcPr>
            <w:tcW w:type="dxa" w:w="4680"/>
            <w:tcMar>
              <w:top w:type="dxa" w:w="80"/>
              <w:left w:type="dxa" w:w="110"/>
              <w:bottom w:type="dxa" w:w="80"/>
              <w:right w:type="dxa" w:w="110"/>
            </w:tcMar>
          </w:tcPr>
          <w:p>
            <w:pPr>
              <w:spacing w:after="0" w:line="240"/>
              <w:jc w:val="left"/>
            </w:pPr>
            <w:r>
              <w:rPr>
                <w:sz w:val="19"/>
                <w:szCs w:val="19"/>
              </w:rPr>
              <w:t xml:space="preserve">Simona Simeonova-Georgieva</w:t>
            </w:r>
          </w:p>
        </w:tc>
        <w:tc>
          <w:tcPr>
            <w:tcW w:type="dxa" w:w="4680"/>
            <w:tcMar>
              <w:top w:type="dxa" w:w="80"/>
              <w:left w:type="dxa" w:w="110"/>
              <w:bottom w:type="dxa" w:w="80"/>
              <w:right w:type="dxa" w:w="110"/>
            </w:tcMar>
          </w:tcPr>
          <w:p>
            <w:pPr>
              <w:spacing w:after="0" w:line="240"/>
              <w:jc w:val="left"/>
            </w:pPr>
            <w:r>
              <w:rPr>
                <w:sz w:val="19"/>
                <w:szCs w:val="19"/>
              </w:rPr>
              <w:t xml:space="preserve">President and Secretary</w:t>
            </w:r>
          </w:p>
        </w:tc>
      </w:tr>
    </w:tbl>
    <w:p>
      <w:pPr>
        <w:spacing w:after="200" w:line="276"/>
        <w:jc w:val="both"/>
      </w:pPr>
      <w:r>
        <w:rPr>
          <w:sz w:val="22"/>
          <w:szCs w:val="22"/>
        </w:rPr>
        <w:t xml:space="preserve"/>
      </w:r>
    </w:p>
    <w:p>
      <w:pPr>
        <w:keepNext/>
        <w:spacing w:after="140" w:before="260" w:line="276"/>
      </w:pPr>
      <w:r>
        <w:rPr>
          <w:b/>
          <w:bCs/>
          <w:sz w:val="22"/>
          <w:szCs w:val="22"/>
        </w:rPr>
        <w:t xml:space="preserve">4. Fiscal Year</w:t>
      </w:r>
    </w:p>
    <w:p>
      <w:pPr>
        <w:spacing w:after="180" w:line="276"/>
        <w:jc w:val="both"/>
      </w:pPr>
      <w:r>
        <w:rPr>
          <w:sz w:val="22"/>
          <w:szCs w:val="22"/>
        </w:rPr>
        <w:t xml:space="preserve">RESOLVED, that the fiscal year of the Corporation shall end on December 31 of each year.</w:t>
      </w:r>
    </w:p>
    <w:p>
      <w:pPr>
        <w:keepNext/>
        <w:spacing w:after="140" w:before="260" w:line="276"/>
      </w:pPr>
      <w:r>
        <w:rPr>
          <w:b/>
          <w:bCs/>
          <w:sz w:val="22"/>
          <w:szCs w:val="22"/>
        </w:rPr>
        <w:t xml:space="preserve">5. Issuance of Founder Common Stock</w:t>
      </w:r>
    </w:p>
    <w:p>
      <w:pPr>
        <w:spacing w:after="180" w:line="276"/>
        <w:jc w:val="both"/>
      </w:pPr>
      <w:r>
        <w:rPr>
          <w:sz w:val="22"/>
          <w:szCs w:val="22"/>
        </w:rPr>
        <w:t xml:space="preserve">RESOLVED, that the Corporation hereby sells and issues shares of its Common Stock, par value $0.00001 per share, to the persons and in the amounts and for the consideration set forth below, in each case pursuant to a Restricted Stock Purchase Agreement in substantially the form presented to the Board (each, a "Purchase Agreement"), which form is hereby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1900"/>
        <w:gridCol w:w="2160"/>
      </w:tblGrid>
      <w:tr>
        <w:trPr>
          <w:tblHeader/>
        </w:trPr>
        <w:tc>
          <w:tcPr>
            <w:tcW w:type="dxa" w:w="3100"/>
            <w:shd w:fill="EDEFF3" w:val="clear"/>
            <w:tcMar>
              <w:top w:type="dxa" w:w="80"/>
              <w:left w:type="dxa" w:w="110"/>
              <w:bottom w:type="dxa" w:w="80"/>
              <w:right w:type="dxa" w:w="110"/>
            </w:tcMar>
          </w:tcPr>
          <w:p>
            <w:pPr>
              <w:spacing w:after="0" w:line="240"/>
              <w:jc w:val="left"/>
            </w:pPr>
            <w:r>
              <w:rPr>
                <w:b/>
                <w:bCs/>
                <w:sz w:val="19"/>
                <w:szCs w:val="19"/>
              </w:rPr>
              <w:t xml:space="preserve">Purchaser</w:t>
            </w:r>
          </w:p>
        </w:tc>
        <w:tc>
          <w:tcPr>
            <w:tcW w:type="dxa" w:w="2200"/>
            <w:shd w:fill="EDEFF3" w:val="clear"/>
            <w:tcMar>
              <w:top w:type="dxa" w:w="80"/>
              <w:left w:type="dxa" w:w="110"/>
              <w:bottom w:type="dxa" w:w="80"/>
              <w:right w:type="dxa" w:w="110"/>
            </w:tcMar>
          </w:tcPr>
          <w:p>
            <w:pPr>
              <w:spacing w:after="0" w:line="240"/>
              <w:jc w:val="left"/>
            </w:pPr>
            <w:r>
              <w:rPr>
                <w:b/>
                <w:bCs/>
                <w:sz w:val="19"/>
                <w:szCs w:val="19"/>
              </w:rPr>
              <w:t xml:space="preserve">Shares of Common Stock</w:t>
            </w:r>
          </w:p>
        </w:tc>
        <w:tc>
          <w:tcPr>
            <w:tcW w:type="dxa" w:w="1900"/>
            <w:shd w:fill="EDEFF3" w:val="clear"/>
            <w:tcMar>
              <w:top w:type="dxa" w:w="80"/>
              <w:left w:type="dxa" w:w="110"/>
              <w:bottom w:type="dxa" w:w="80"/>
              <w:right w:type="dxa" w:w="110"/>
            </w:tcMar>
          </w:tcPr>
          <w:p>
            <w:pPr>
              <w:spacing w:after="0" w:line="240"/>
              <w:jc w:val="left"/>
            </w:pPr>
            <w:r>
              <w:rPr>
                <w:b/>
                <w:bCs/>
                <w:sz w:val="19"/>
                <w:szCs w:val="19"/>
              </w:rPr>
              <w:t xml:space="preserve">Price Per Share</w:t>
            </w:r>
          </w:p>
        </w:tc>
        <w:tc>
          <w:tcPr>
            <w:tcW w:type="dxa" w:w="2160"/>
            <w:shd w:fill="EDEFF3" w:val="clear"/>
            <w:tcMar>
              <w:top w:type="dxa" w:w="80"/>
              <w:left w:type="dxa" w:w="110"/>
              <w:bottom w:type="dxa" w:w="80"/>
              <w:right w:type="dxa" w:w="110"/>
            </w:tcMar>
          </w:tcPr>
          <w:p>
            <w:pPr>
              <w:spacing w:after="0" w:line="240"/>
              <w:jc w:val="left"/>
            </w:pPr>
            <w:r>
              <w:rPr>
                <w:b/>
                <w:bCs/>
                <w:sz w:val="19"/>
                <w:szCs w:val="19"/>
              </w:rPr>
              <w:t xml:space="preserve">Aggregate Price</w:t>
            </w:r>
          </w:p>
        </w:tc>
      </w:tr>
      <w:tr>
        <w:tc>
          <w:tcPr>
            <w:tcW w:type="dxa" w:w="3100"/>
            <w:tcMar>
              <w:top w:type="dxa" w:w="80"/>
              <w:left w:type="dxa" w:w="110"/>
              <w:bottom w:type="dxa" w:w="80"/>
              <w:right w:type="dxa" w:w="110"/>
            </w:tcMar>
          </w:tcPr>
          <w:p>
            <w:pPr>
              <w:spacing w:after="0" w:line="240"/>
              <w:jc w:val="left"/>
            </w:pPr>
            <w:r>
              <w:rPr>
                <w:sz w:val="19"/>
                <w:szCs w:val="19"/>
              </w:rPr>
              <w:t xml:space="preserve">Pavel Georgiev</w:t>
            </w:r>
          </w:p>
        </w:tc>
        <w:tc>
          <w:tcPr>
            <w:tcW w:type="dxa" w:w="2200"/>
            <w:tcMar>
              <w:top w:type="dxa" w:w="80"/>
              <w:left w:type="dxa" w:w="110"/>
              <w:bottom w:type="dxa" w:w="80"/>
              <w:right w:type="dxa" w:w="110"/>
            </w:tcMar>
          </w:tcPr>
          <w:p>
            <w:pPr>
              <w:spacing w:after="0" w:line="240"/>
              <w:jc w:val="left"/>
            </w:pPr>
            <w:r>
              <w:rPr>
                <w:sz w:val="19"/>
                <w:szCs w:val="19"/>
              </w:rPr>
              <w:t xml:space="preserve">5,600,000</w:t>
            </w:r>
          </w:p>
        </w:tc>
        <w:tc>
          <w:tcPr>
            <w:tcW w:type="dxa" w:w="1900"/>
            <w:tcMar>
              <w:top w:type="dxa" w:w="80"/>
              <w:left w:type="dxa" w:w="110"/>
              <w:bottom w:type="dxa" w:w="80"/>
              <w:right w:type="dxa" w:w="110"/>
            </w:tcMar>
          </w:tcPr>
          <w:p>
            <w:pPr>
              <w:spacing w:after="0" w:line="240"/>
              <w:jc w:val="left"/>
            </w:pPr>
            <w:r>
              <w:rPr>
                <w:sz w:val="19"/>
                <w:szCs w:val="19"/>
              </w:rPr>
              <w:t xml:space="preserve">$0.00001</w:t>
            </w:r>
          </w:p>
        </w:tc>
        <w:tc>
          <w:tcPr>
            <w:tcW w:type="dxa" w:w="2160"/>
            <w:tcMar>
              <w:top w:type="dxa" w:w="80"/>
              <w:left w:type="dxa" w:w="110"/>
              <w:bottom w:type="dxa" w:w="80"/>
              <w:right w:type="dxa" w:w="110"/>
            </w:tcMar>
          </w:tcPr>
          <w:p>
            <w:pPr>
              <w:spacing w:after="0" w:line="240"/>
              <w:jc w:val="left"/>
            </w:pPr>
            <w:r>
              <w:rPr>
                <w:sz w:val="19"/>
                <w:szCs w:val="19"/>
              </w:rPr>
              <w:t xml:space="preserve">$56.00</w:t>
            </w:r>
          </w:p>
        </w:tc>
      </w:tr>
      <w:tr>
        <w:tc>
          <w:tcPr>
            <w:tcW w:type="dxa" w:w="3100"/>
            <w:tcMar>
              <w:top w:type="dxa" w:w="80"/>
              <w:left w:type="dxa" w:w="110"/>
              <w:bottom w:type="dxa" w:w="80"/>
              <w:right w:type="dxa" w:w="110"/>
            </w:tcMar>
          </w:tcPr>
          <w:p>
            <w:pPr>
              <w:spacing w:after="0" w:line="240"/>
              <w:jc w:val="left"/>
            </w:pPr>
            <w:r>
              <w:rPr>
                <w:sz w:val="19"/>
                <w:szCs w:val="19"/>
              </w:rPr>
              <w:t xml:space="preserve">Simona Simeonova-Georgieva</w:t>
            </w:r>
          </w:p>
        </w:tc>
        <w:tc>
          <w:tcPr>
            <w:tcW w:type="dxa" w:w="2200"/>
            <w:tcMar>
              <w:top w:type="dxa" w:w="80"/>
              <w:left w:type="dxa" w:w="110"/>
              <w:bottom w:type="dxa" w:w="80"/>
              <w:right w:type="dxa" w:w="110"/>
            </w:tcMar>
          </w:tcPr>
          <w:p>
            <w:pPr>
              <w:spacing w:after="0" w:line="240"/>
              <w:jc w:val="left"/>
            </w:pPr>
            <w:r>
              <w:rPr>
                <w:sz w:val="19"/>
                <w:szCs w:val="19"/>
              </w:rPr>
              <w:t xml:space="preserve">2,400,000</w:t>
            </w:r>
          </w:p>
        </w:tc>
        <w:tc>
          <w:tcPr>
            <w:tcW w:type="dxa" w:w="1900"/>
            <w:tcMar>
              <w:top w:type="dxa" w:w="80"/>
              <w:left w:type="dxa" w:w="110"/>
              <w:bottom w:type="dxa" w:w="80"/>
              <w:right w:type="dxa" w:w="110"/>
            </w:tcMar>
          </w:tcPr>
          <w:p>
            <w:pPr>
              <w:spacing w:after="0" w:line="240"/>
              <w:jc w:val="left"/>
            </w:pPr>
            <w:r>
              <w:rPr>
                <w:sz w:val="19"/>
                <w:szCs w:val="19"/>
              </w:rPr>
              <w:t xml:space="preserve">$0.00001</w:t>
            </w:r>
          </w:p>
        </w:tc>
        <w:tc>
          <w:tcPr>
            <w:tcW w:type="dxa" w:w="2160"/>
            <w:tcMar>
              <w:top w:type="dxa" w:w="80"/>
              <w:left w:type="dxa" w:w="110"/>
              <w:bottom w:type="dxa" w:w="80"/>
              <w:right w:type="dxa" w:w="110"/>
            </w:tcMar>
          </w:tcPr>
          <w:p>
            <w:pPr>
              <w:spacing w:after="0" w:line="240"/>
              <w:jc w:val="left"/>
            </w:pPr>
            <w:r>
              <w:rPr>
                <w:sz w:val="19"/>
                <w:szCs w:val="19"/>
              </w:rPr>
              <w:t xml:space="preserve">$24.00</w:t>
            </w:r>
          </w:p>
        </w:tc>
      </w:tr>
      <w:tr>
        <w:tc>
          <w:tcPr>
            <w:tcW w:type="dxa" w:w="3100"/>
            <w:tcMar>
              <w:top w:type="dxa" w:w="80"/>
              <w:left w:type="dxa" w:w="110"/>
              <w:bottom w:type="dxa" w:w="80"/>
              <w:right w:type="dxa" w:w="110"/>
            </w:tcMar>
          </w:tcPr>
          <w:p>
            <w:pPr>
              <w:spacing w:after="0" w:line="240"/>
              <w:jc w:val="left"/>
            </w:pPr>
            <w:r>
              <w:rPr>
                <w:sz w:val="19"/>
                <w:szCs w:val="19"/>
              </w:rPr>
              <w:t xml:space="preserve">Total</w:t>
            </w:r>
          </w:p>
        </w:tc>
        <w:tc>
          <w:tcPr>
            <w:tcW w:type="dxa" w:w="2200"/>
            <w:tcMar>
              <w:top w:type="dxa" w:w="80"/>
              <w:left w:type="dxa" w:w="110"/>
              <w:bottom w:type="dxa" w:w="80"/>
              <w:right w:type="dxa" w:w="110"/>
            </w:tcMar>
          </w:tcPr>
          <w:p>
            <w:pPr>
              <w:spacing w:after="0" w:line="240"/>
              <w:jc w:val="left"/>
            </w:pPr>
            <w:r>
              <w:rPr>
                <w:sz w:val="19"/>
                <w:szCs w:val="19"/>
              </w:rPr>
              <w:t xml:space="preserve">8,000,000</w:t>
            </w:r>
          </w:p>
        </w:tc>
        <w:tc>
          <w:tcPr>
            <w:tcW w:type="dxa" w:w="1900"/>
            <w:tcMar>
              <w:top w:type="dxa" w:w="80"/>
              <w:left w:type="dxa" w:w="110"/>
              <w:bottom w:type="dxa" w:w="80"/>
              <w:right w:type="dxa" w:w="110"/>
            </w:tcMar>
          </w:tcPr>
          <w:p>
            <w:pPr>
              <w:spacing w:after="0" w:line="240"/>
              <w:jc w:val="left"/>
            </w:pPr>
            <w:r>
              <w:rPr>
                <w:sz w:val="19"/>
                <w:szCs w:val="19"/>
              </w:rPr>
              <w:t xml:space="preserve"/>
            </w:r>
          </w:p>
        </w:tc>
        <w:tc>
          <w:tcPr>
            <w:tcW w:type="dxa" w:w="2160"/>
            <w:tcMar>
              <w:top w:type="dxa" w:w="80"/>
              <w:left w:type="dxa" w:w="110"/>
              <w:bottom w:type="dxa" w:w="80"/>
              <w:right w:type="dxa" w:w="110"/>
            </w:tcMar>
          </w:tcPr>
          <w:p>
            <w:pPr>
              <w:spacing w:after="0" w:line="240"/>
              <w:jc w:val="left"/>
            </w:pPr>
            <w:r>
              <w:rPr>
                <w:sz w:val="19"/>
                <w:szCs w:val="19"/>
              </w:rPr>
              <w:t xml:space="preserve">$80.00</w:t>
            </w:r>
          </w:p>
        </w:tc>
      </w:tr>
    </w:tbl>
    <w:p>
      <w:pPr>
        <w:spacing w:after="200" w:line="276"/>
        <w:jc w:val="both"/>
      </w:pPr>
      <w:r>
        <w:rPr>
          <w:sz w:val="22"/>
          <w:szCs w:val="22"/>
        </w:rPr>
        <w:t xml:space="preserve"/>
      </w:r>
    </w:p>
    <w:p>
      <w:pPr>
        <w:spacing w:after="180" w:line="276"/>
        <w:jc w:val="both"/>
      </w:pPr>
      <w:r>
        <w:rPr>
          <w:sz w:val="22"/>
          <w:szCs w:val="22"/>
        </w:rPr>
        <w:t xml:space="preserve">RESOLVED FURTHER, that the shares so issued shall be subject to the vesting, repurchase, transfer and other restrictions set forth in the applicable Purchase Agreement.</w:t>
      </w:r>
    </w:p>
    <w:p>
      <w:pPr>
        <w:spacing w:after="180" w:line="276"/>
        <w:jc w:val="both"/>
      </w:pPr>
      <w:r>
        <w:rPr>
          <w:sz w:val="22"/>
          <w:szCs w:val="22"/>
        </w:rPr>
        <w:t xml:space="preserve">RESOLVED FURTHER, that the Board has determined, after consideration of the fact that the Corporation was recently formed, has no operating history as a corporation, holds no material assets, and has no revenue or contracts of value as of the date hereof, that the fair market value of a share of Common Stock as of the date of issuance is $0.00001 per share, which is equal to the purchase price paid by each purchaser.</w:t>
      </w:r>
    </w:p>
    <w:p>
      <w:pPr>
        <w:spacing w:after="180" w:line="276"/>
        <w:jc w:val="both"/>
      </w:pPr>
      <w:r>
        <w:rPr>
          <w:sz w:val="22"/>
          <w:szCs w:val="22"/>
        </w:rPr>
        <w:t xml:space="preserve">RESOLVED FURTHER, that the officers of the Corporation are hereby authorized and directed to execute and deliver each Purchase Agreement, to accept payment of the purchase price, to cause the shares to be recorded in the stock ledger of the Corporation, and to take all other actions necessary to effect such issuances.</w:t>
      </w:r>
    </w:p>
    <w:p>
      <w:pPr>
        <w:keepNext/>
        <w:spacing w:after="140" w:before="260" w:line="276"/>
      </w:pPr>
      <w:r>
        <w:rPr>
          <w:b/>
          <w:bCs/>
          <w:sz w:val="22"/>
          <w:szCs w:val="22"/>
        </w:rPr>
        <w:t xml:space="preserve">6. Reservation of Shares for Future Equity Incentive Plan</w:t>
      </w:r>
    </w:p>
    <w:p>
      <w:pPr>
        <w:spacing w:after="180" w:line="276"/>
        <w:jc w:val="both"/>
      </w:pPr>
      <w:r>
        <w:rPr>
          <w:sz w:val="22"/>
          <w:szCs w:val="22"/>
        </w:rPr>
        <w:t xml:space="preserve">RESOLVED, that the Board hereby reserves 2,000,000 shares of the authorized but unissued Common Stock of the Corporation for future issuance to employees, directors, officers, consultants and advisors of the Corporation, whether pursuant to an equity incentive plan to be adopted by the Board and approved by the stockholders or pursuant to individual award agreements.</w:t>
      </w:r>
    </w:p>
    <w:p>
      <w:pPr>
        <w:spacing w:after="180" w:line="276"/>
        <w:jc w:val="both"/>
      </w:pPr>
      <w:r>
        <w:rPr>
          <w:sz w:val="22"/>
          <w:szCs w:val="22"/>
        </w:rPr>
        <w:t xml:space="preserve">RESOLVED FURTHER, that no awards shall be granted from such reserve until the Board has adopted an equity incentive plan and, where required, has obtained a valuation of the Common Stock meeting the requirements of Section 409A of the Internal Revenue Code of 1986, as amended, and the regulations thereunder.</w:t>
      </w:r>
    </w:p>
    <w:p>
      <w:pPr>
        <w:keepNext/>
        <w:spacing w:after="140" w:before="260" w:line="276"/>
      </w:pPr>
      <w:r>
        <w:rPr>
          <w:b/>
          <w:bCs/>
          <w:sz w:val="22"/>
          <w:szCs w:val="22"/>
        </w:rPr>
        <w:t xml:space="preserve">7. Uncertificated Shares</w:t>
      </w:r>
    </w:p>
    <w:p>
      <w:pPr>
        <w:spacing w:after="180" w:line="276"/>
        <w:jc w:val="both"/>
      </w:pPr>
      <w:r>
        <w:rPr>
          <w:sz w:val="22"/>
          <w:szCs w:val="22"/>
        </w:rPr>
        <w:t xml:space="preserve">RESOLVED, that all shares of capital stock of the Corporation shall be uncertificated, and the Secretary shall record all issuances and transfers in the stock ledger of the Corporation and shall deliver to each holder the notice required by Section 151(f) of the DGCL.</w:t>
      </w:r>
    </w:p>
    <w:p>
      <w:pPr>
        <w:keepNext/>
        <w:spacing w:after="140" w:before="260" w:line="276"/>
      </w:pPr>
      <w:r>
        <w:rPr>
          <w:b/>
          <w:bCs/>
          <w:sz w:val="22"/>
          <w:szCs w:val="22"/>
        </w:rPr>
        <w:t xml:space="preserve">8. Confidential Information and Invention Assignment Agreements</w:t>
      </w:r>
    </w:p>
    <w:p>
      <w:pPr>
        <w:spacing w:after="180" w:line="276"/>
        <w:jc w:val="both"/>
      </w:pPr>
      <w:r>
        <w:rPr>
          <w:sz w:val="22"/>
          <w:szCs w:val="22"/>
        </w:rPr>
        <w:t xml:space="preserve">RESOLVED, that the form of Confidential Information and Invention Assignment Agreement presented to the Board is hereby approved, and the officers are directed to cause each founder, employee, contractor and consultant of the Corporation to execute such agreement, in each case as a condition of the issuance of equity, employment or engagement.</w:t>
      </w:r>
    </w:p>
    <w:p>
      <w:pPr>
        <w:keepNext/>
        <w:spacing w:after="140" w:before="260" w:line="276"/>
      </w:pPr>
      <w:r>
        <w:rPr>
          <w:b/>
          <w:bCs/>
          <w:sz w:val="22"/>
          <w:szCs w:val="22"/>
        </w:rPr>
        <w:t xml:space="preserve">9. Indemnification Agreements</w:t>
      </w:r>
    </w:p>
    <w:p>
      <w:pPr>
        <w:spacing w:after="180" w:line="276"/>
        <w:jc w:val="both"/>
      </w:pPr>
      <w:r>
        <w:rPr>
          <w:sz w:val="22"/>
          <w:szCs w:val="22"/>
        </w:rPr>
        <w:t xml:space="preserve">RESOLVED, that the form of Indemnification Agreement presented to the Board is hereby approved, and the Corporation is authorized to enter into an Indemnification Agreement in such form with each of its current and future directors and officers, including Pavel Georgiev and Simona Simeonova-Georgieva.</w:t>
      </w:r>
    </w:p>
    <w:p>
      <w:pPr>
        <w:spacing w:after="180" w:line="276"/>
        <w:jc w:val="both"/>
      </w:pPr>
      <w:r>
        <w:rPr>
          <w:sz w:val="22"/>
          <w:szCs w:val="22"/>
        </w:rPr>
        <w:t xml:space="preserve">RESOLVED FURTHER, that any officer of the Corporation is authorized to execute and deliver such Indemnification Agreements on behalf of the Corporation, provided that no officer shall execute such an agreement on behalf of the Corporation with respect to himself or herself as indemnitee.</w:t>
      </w:r>
    </w:p>
    <w:p>
      <w:pPr>
        <w:keepNext/>
        <w:spacing w:after="140" w:before="260" w:line="276"/>
      </w:pPr>
      <w:r>
        <w:rPr>
          <w:b/>
          <w:bCs/>
          <w:sz w:val="22"/>
          <w:szCs w:val="22"/>
        </w:rPr>
        <w:t xml:space="preserve">10. Bank Account</w:t>
      </w:r>
    </w:p>
    <w:p>
      <w:pPr>
        <w:spacing w:after="180" w:line="276"/>
        <w:jc w:val="both"/>
      </w:pPr>
      <w:r>
        <w:rPr>
          <w:sz w:val="22"/>
          <w:szCs w:val="22"/>
        </w:rPr>
        <w:t xml:space="preserve">RESOLVED, that the Corporation is hereby authorized to open and maintain one or more deposit, treasury and related accounts with Mercury (and its partner banks) and with such other financial institutions as the officers may select, and that the officers of the Corporation are authorized to execute all documents and resolutions required by such institutions, including any standard form of banking resolution, which resolutions shall be deemed adopted and shall be attached to these minutes.</w:t>
      </w:r>
    </w:p>
    <w:p>
      <w:pPr>
        <w:spacing w:after="180" w:line="276"/>
        <w:jc w:val="both"/>
      </w:pPr>
      <w:r>
        <w:rPr>
          <w:sz w:val="22"/>
          <w:szCs w:val="22"/>
        </w:rPr>
        <w:t xml:space="preserve">RESOLVED FURTHER, that each of the Chief Executive Officer and the President is authorized to designate authorized signatories on such accounts and to give instructions for the deposit, withdrawal and transfer of funds.</w:t>
      </w:r>
    </w:p>
    <w:p>
      <w:pPr>
        <w:keepNext/>
        <w:spacing w:after="140" w:before="260" w:line="276"/>
      </w:pPr>
      <w:r>
        <w:rPr>
          <w:b/>
          <w:bCs/>
          <w:sz w:val="22"/>
          <w:szCs w:val="22"/>
        </w:rPr>
        <w:t xml:space="preserve">11. Employer Identification Number and Tax Matters</w:t>
      </w:r>
    </w:p>
    <w:p>
      <w:pPr>
        <w:spacing w:after="180" w:line="276"/>
        <w:jc w:val="both"/>
      </w:pPr>
      <w:r>
        <w:rPr>
          <w:sz w:val="22"/>
          <w:szCs w:val="22"/>
        </w:rPr>
        <w:t xml:space="preserve">RESOLVED, that the officers of the Corporation are authorized and directed to apply for an Employer Identification Number from the Internal Revenue Service and to make such filings and elections with federal, state and local taxing authorities as they deem necessary or advisable.</w:t>
      </w:r>
    </w:p>
    <w:p>
      <w:pPr>
        <w:spacing w:after="180" w:line="276"/>
        <w:jc w:val="both"/>
      </w:pPr>
      <w:r>
        <w:rPr>
          <w:sz w:val="22"/>
          <w:szCs w:val="22"/>
        </w:rPr>
        <w:t xml:space="preserve">RESOLVED FURTHER, that the Board acknowledges that any election under Section 83(b) of the Internal Revenue Code of 1986, as amended, with respect to shares purchased under a Purchase Agreement is the sole responsibility of the individual purchaser, must be filed with the Internal Revenue Service no later than thirty (30) days after the date of transfer of the shares, and that neither the Corporation nor any of its officers, directors, agents or advisors has any obligation to file such election on the purchaser’s behalf.</w:t>
      </w:r>
    </w:p>
    <w:p>
      <w:pPr>
        <w:keepNext/>
        <w:spacing w:after="140" w:before="260" w:line="276"/>
      </w:pPr>
      <w:r>
        <w:rPr>
          <w:b/>
          <w:bCs/>
          <w:sz w:val="22"/>
          <w:szCs w:val="22"/>
        </w:rPr>
        <w:t xml:space="preserve">12. Qualification to do Business in Georgia</w:t>
      </w:r>
    </w:p>
    <w:p>
      <w:pPr>
        <w:spacing w:after="180" w:line="276"/>
        <w:jc w:val="both"/>
      </w:pPr>
      <w:r>
        <w:rPr>
          <w:sz w:val="22"/>
          <w:szCs w:val="22"/>
        </w:rPr>
        <w:t xml:space="preserve">RESOLVED, that the Corporation is authorized to qualify to transact business as a foreign corporation in the State of Georgia and in any other jurisdiction in which the conduct of its business makes such qualification necessary or advisable, and the officers are authorized to appoint a registered agent in each such jurisdiction and to make all required filings.</w:t>
      </w:r>
    </w:p>
    <w:p>
      <w:pPr>
        <w:keepNext/>
        <w:spacing w:after="140" w:before="260" w:line="276"/>
      </w:pPr>
      <w:r>
        <w:rPr>
          <w:b/>
          <w:bCs/>
          <w:sz w:val="22"/>
          <w:szCs w:val="22"/>
        </w:rPr>
        <w:t xml:space="preserve">13. Reimbursement of Pre-Incorporation Expenses</w:t>
      </w:r>
    </w:p>
    <w:p>
      <w:pPr>
        <w:spacing w:after="180" w:line="276"/>
        <w:jc w:val="both"/>
      </w:pPr>
      <w:r>
        <w:rPr>
          <w:sz w:val="22"/>
          <w:szCs w:val="22"/>
        </w:rPr>
        <w:t xml:space="preserve">RESOLVED, that the Corporation is authorized to reimburse its founders for reasonable and documented out-of-pocket expenses incurred by them prior to the date of incorporation in connection with the organization of the Corporation and the development of its business, subject to the presentation of reasonable supporting documentation and to review by the Corporation’s tax advisors as to the proper treatment of such expenses.</w:t>
      </w:r>
    </w:p>
    <w:p>
      <w:pPr>
        <w:keepNext/>
        <w:spacing w:after="140" w:before="260" w:line="276"/>
      </w:pPr>
      <w:r>
        <w:rPr>
          <w:b/>
          <w:bCs/>
          <w:sz w:val="22"/>
          <w:szCs w:val="22"/>
        </w:rPr>
        <w:t xml:space="preserve">14. Payment of Organizational Expenses</w:t>
      </w:r>
    </w:p>
    <w:p>
      <w:pPr>
        <w:spacing w:after="180" w:line="276"/>
        <w:jc w:val="both"/>
      </w:pPr>
      <w:r>
        <w:rPr>
          <w:sz w:val="22"/>
          <w:szCs w:val="22"/>
        </w:rPr>
        <w:t xml:space="preserve">RESOLVED, that the officers of the Corporation are authorized and directed to pay all fees and expenses incident to and necessary for the organization and qualification of the Corporation, and to treat such expenses as organizational expenditures of the Corporation for tax purposes to the extent permitted by law.</w:t>
      </w:r>
    </w:p>
    <w:p>
      <w:pPr>
        <w:keepNext/>
        <w:spacing w:after="140" w:before="260" w:line="276"/>
      </w:pPr>
      <w:r>
        <w:rPr>
          <w:b/>
          <w:bCs/>
          <w:sz w:val="22"/>
          <w:szCs w:val="22"/>
        </w:rPr>
        <w:t xml:space="preserve">15. General Authorization</w:t>
      </w:r>
    </w:p>
    <w:p>
      <w:pPr>
        <w:spacing w:after="180" w:line="276"/>
        <w:jc w:val="both"/>
      </w:pPr>
      <w:r>
        <w:rPr>
          <w:sz w:val="22"/>
          <w:szCs w:val="22"/>
        </w:rPr>
        <w:t xml:space="preserve">RESOLVED, that the officers of the Corporation are hereby authorized and directed, in the name and on behalf of the Corporation, to execute and deliver any and all such further agreements, instruments, certificates and documents, and to take all such further actions, as any such officer may deem necessary or advisable to carry out the purposes and intent of the foregoing resolutions, and that all actions previously taken by the officers and directors of the Corporation in connection with the matters contemplated by the foregoing resolutions are hereby ratified, approved and confirmed.</w:t>
      </w:r>
    </w:p>
    <w:p>
      <w:pPr>
        <w:spacing w:after="240" w:line="276"/>
        <w:jc w:val="both"/>
      </w:pPr>
      <w:r>
        <w:rPr>
          <w:sz w:val="22"/>
          <w:szCs w:val="22"/>
        </w:rPr>
        <w:t xml:space="preserve"/>
      </w:r>
    </w:p>
    <w:p>
      <w:pPr>
        <w:spacing w:after="180" w:line="276"/>
        <w:jc w:val="both"/>
      </w:pPr>
      <w:r>
        <w:rPr>
          <w:sz w:val="22"/>
          <w:szCs w:val="22"/>
        </w:rPr>
        <w:t xml:space="preserve">This Action by Unanimous Written Consent may be executed in counterparts and delivered by electronic transmission, each of which shall be deemed an original and all of which together shall constitute one and the same instrument. This consent shall be filed with the minutes of the proceedings of the Board of Directors.</w:t>
      </w:r>
    </w:p>
    <w:p>
      <w:pPr>
        <w:spacing w:after="100" w:line="276"/>
        <w:jc w:val="both"/>
      </w:pPr>
      <w:r>
        <w:rPr>
          <w:sz w:val="22"/>
          <w:szCs w:val="22"/>
        </w:rPr>
        <w:t xml:space="preserve">IN WITNESS WHEREOF, the undersigned have executed this Action by Unanimous Written Consent as of the date first written above.</w:t>
      </w:r>
    </w:p>
    <w:p>
      <w:pPr>
        <w:spacing w:after="40" w:before="400"/>
      </w:pPr>
      <w:r>
        <w:rPr>
          <w:sz w:val="22"/>
          <w:szCs w:val="22"/>
        </w:rPr>
        <w:t xml:space="preserve">_______________________________________</w:t>
      </w:r>
    </w:p>
    <w:p>
      <w:pPr>
        <w:spacing w:after="20"/>
      </w:pPr>
      <w:r>
        <w:rPr>
          <w:b/>
          <w:bCs/>
          <w:sz w:val="22"/>
          <w:szCs w:val="22"/>
        </w:rPr>
        <w:t xml:space="preserve">Pavel Georgiev</w:t>
      </w:r>
    </w:p>
    <w:p>
      <w:pPr>
        <w:spacing w:after="20"/>
      </w:pPr>
      <w:r>
        <w:rPr>
          <w:sz w:val="22"/>
          <w:szCs w:val="22"/>
        </w:rPr>
        <w:t xml:space="preserve">Director</w:t>
      </w:r>
    </w:p>
    <w:p>
      <w:pPr>
        <w:spacing w:after="40" w:before="400"/>
      </w:pPr>
      <w:r>
        <w:rPr>
          <w:sz w:val="22"/>
          <w:szCs w:val="22"/>
        </w:rPr>
        <w:t xml:space="preserve">_______________________________________</w:t>
      </w:r>
    </w:p>
    <w:p>
      <w:pPr>
        <w:spacing w:after="20"/>
      </w:pPr>
      <w:r>
        <w:rPr>
          <w:b/>
          <w:bCs/>
          <w:sz w:val="22"/>
          <w:szCs w:val="22"/>
        </w:rPr>
        <w:t xml:space="preserve">Simona Simeonova-Georgieva</w:t>
      </w:r>
    </w:p>
    <w:p>
      <w:pPr>
        <w:spacing w:after="20"/>
      </w:pPr>
      <w:r>
        <w:rPr>
          <w:sz w:val="22"/>
          <w:szCs w:val="22"/>
        </w:rPr>
        <w:t xml:space="preserve">Director</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66666"/>
        <w:sz w:val="16"/>
        <w:szCs w:val="16"/>
      </w:rPr>
      <w:t xml:space="preserve">iLaunchify, Inc. — Initial Board Consent</w:t>
    </w:r>
    <w:r>
      <w:rPr>
        <w:sz w:val="16"/>
        <w:szCs w:val="16"/>
      </w:rPr>
      <w:t xml:space="preserve">	</w:t>
    </w:r>
    <w:r>
      <w:rPr>
        <w:rFonts w:ascii="Times New Roman" w:cs="Times New Roman" w:eastAsia="Times New Roman" w:hAnsi="Times New Roman"/>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2026-07-27T20:08:57.628Z</dcterms:created>
  <dcterms:modified xsi:type="dcterms:W3CDTF">2026-07-27T20:08:57.628Z</dcterms:modified>
</cp:coreProperties>
</file>

<file path=docProps/custom.xml><?xml version="1.0" encoding="utf-8"?>
<Properties xmlns="http://schemas.openxmlformats.org/officeDocument/2006/custom-properties" xmlns:vt="http://schemas.openxmlformats.org/officeDocument/2006/docPropsVTypes"/>
</file>