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309" w:sz="6" w:space="6"/>
          <w:bottom w:val="single" w:color="B45309" w:sz="6" w:space="6"/>
          <w:left w:val="single" w:color="B45309" w:sz="6" w:space="6"/>
          <w:right w:val="single" w:color="B45309" w:sz="6" w:space="6"/>
        </w:pBdr>
        <w:shd w:fill="FFFBEB" w:val="clear"/>
        <w:spacing w:after="320" w:line="240"/>
        <w:jc w:val="both"/>
      </w:pPr>
      <w:r>
        <w:rPr>
          <w:i/>
          <w:iCs/>
          <w:sz w:val="18"/>
          <w:szCs w:val="18"/>
        </w:rPr>
        <w:t xml:space="preserve">DRAFT FOR REVIEW BY LEGAL COUNSEL. This document was prepared as a working draft from standard startup formation practice. It has not been reviewed by a licensed attorney and is not legal advice. Have counsel review and adapt it before signing. Bracketed items must be completed.</w:t>
      </w:r>
    </w:p>
    <w:p>
      <w:pPr>
        <w:spacing w:after="120" w:line="276"/>
        <w:jc w:val="center"/>
      </w:pPr>
      <w:r>
        <w:rPr>
          <w:b/>
          <w:bCs/>
          <w:caps/>
          <w:sz w:val="22"/>
          <w:szCs w:val="22"/>
        </w:rPr>
        <w:t xml:space="preserve">Stock Ledger and Capitalization Table</w:t>
      </w:r>
    </w:p>
    <w:p>
      <w:pPr>
        <w:spacing w:after="360" w:line="276"/>
        <w:jc w:val="center"/>
      </w:pPr>
      <w:r>
        <w:rPr>
          <w:b/>
          <w:bCs/>
          <w:sz w:val="22"/>
          <w:szCs w:val="22"/>
        </w:rPr>
        <w:t xml:space="preserve">iLaunchify, Inc.</w:t>
      </w:r>
    </w:p>
    <w:p>
      <w:pPr>
        <w:keepNext/>
        <w:spacing w:after="140" w:before="260" w:line="276"/>
      </w:pPr>
      <w:r>
        <w:rPr>
          <w:b/>
          <w:bCs/>
          <w:sz w:val="22"/>
          <w:szCs w:val="22"/>
        </w:rPr>
        <w:t xml:space="preserve">Authorized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600"/>
        <w:gridCol w:w="1900"/>
        <w:gridCol w:w="1700"/>
        <w:gridCol w:w="1060"/>
      </w:tblGrid>
      <w:tr>
        <w:trPr>
          <w:tblHeader/>
        </w:trPr>
        <w:tc>
          <w:tcPr>
            <w:tcW w:type="dxa" w:w="19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12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 Value</w:t>
            </w:r>
          </w:p>
        </w:tc>
        <w:tc>
          <w:tcPr>
            <w:tcW w:type="dxa" w:w="16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Authorized</w:t>
            </w:r>
          </w:p>
        </w:tc>
        <w:tc>
          <w:tcPr>
            <w:tcW w:type="dxa" w:w="19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Issued and Outstanding</w:t>
            </w:r>
          </w:p>
        </w:tc>
        <w:tc>
          <w:tcPr>
            <w:tcW w:type="dxa" w:w="17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Reserved for Future Issuance</w:t>
            </w:r>
          </w:p>
        </w:tc>
        <w:tc>
          <w:tcPr>
            <w:tcW w:type="dxa" w:w="106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Remaining Unissued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Common Stock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$0.00001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10,000,000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8,000,000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2,000,000</w:t>
            </w:r>
          </w:p>
        </w:tc>
        <w:tc>
          <w:tcPr>
            <w:tcW w:type="dxa" w:w="1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 w:line="276"/>
        <w:jc w:val="both"/>
      </w:pPr>
      <w:r>
        <w:rPr>
          <w:sz w:val="22"/>
          <w:szCs w:val="22"/>
        </w:rPr>
        <w:t xml:space="preserve"/>
      </w:r>
    </w:p>
    <w:p>
      <w:pPr>
        <w:keepNext/>
        <w:spacing w:after="140" w:before="260" w:line="276"/>
      </w:pPr>
      <w:r>
        <w:rPr>
          <w:b/>
          <w:bCs/>
          <w:sz w:val="22"/>
          <w:szCs w:val="22"/>
        </w:rPr>
        <w:t xml:space="preserve">Stock Ledger</w:t>
      </w:r>
    </w:p>
    <w:p>
      <w:pPr>
        <w:spacing w:after="180" w:line="276"/>
        <w:jc w:val="both"/>
      </w:pPr>
      <w:r>
        <w:rPr>
          <w:i/>
          <w:iCs/>
          <w:sz w:val="19"/>
          <w:szCs w:val="19"/>
        </w:rPr>
        <w:t xml:space="preserve">Maintained pursuant to Section 224 of the General Corporation Law of the State of Delaware and Article V of the Bylaws. All shares are uncertificated.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500"/>
        <w:gridCol w:w="1560"/>
        <w:gridCol w:w="1300"/>
      </w:tblGrid>
      <w:tr>
        <w:trPr>
          <w:tblHeader/>
        </w:trPr>
        <w:tc>
          <w:tcPr>
            <w:tcW w:type="dxa" w:w="22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Holder</w:t>
            </w:r>
          </w:p>
        </w:tc>
        <w:tc>
          <w:tcPr>
            <w:tcW w:type="dxa" w:w="15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13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Shares</w:t>
            </w:r>
          </w:p>
        </w:tc>
        <w:tc>
          <w:tcPr>
            <w:tcW w:type="dxa" w:w="15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156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 of Issuance</w:t>
            </w:r>
          </w:p>
        </w:tc>
        <w:tc>
          <w:tcPr>
            <w:tcW w:type="dxa" w:w="13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Vesting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Pavel Georgiev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[ADDRESS]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5,600,000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$56.00 cash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[DATE OF INCORPORATION]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4 yr / 1 yr cliff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Simona Simeonova-Georgieva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[ADDRESS]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2,400,000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$24.00 cash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[DATE OF INCORPORATION]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4 yr / 1 yr cliff</w:t>
            </w:r>
          </w:p>
        </w:tc>
      </w:tr>
    </w:tbl>
    <w:p>
      <w:pPr>
        <w:spacing w:after="200" w:line="276"/>
        <w:jc w:val="both"/>
      </w:pPr>
      <w:r>
        <w:rPr>
          <w:sz w:val="22"/>
          <w:szCs w:val="22"/>
        </w:rPr>
        <w:t xml:space="preserve"/>
      </w:r>
    </w:p>
    <w:p>
      <w:pPr>
        <w:keepNext/>
        <w:spacing w:after="140" w:before="260" w:line="276"/>
      </w:pPr>
      <w:r>
        <w:rPr>
          <w:b/>
          <w:bCs/>
          <w:sz w:val="22"/>
          <w:szCs w:val="22"/>
        </w:rPr>
        <w:t xml:space="preserve">Capitalization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100"/>
        <w:gridCol w:w="1960"/>
      </w:tblGrid>
      <w:tr>
        <w:trPr>
          <w:tblHeader/>
        </w:trPr>
        <w:tc>
          <w:tcPr>
            <w:tcW w:type="dxa" w:w="34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Holder</w:t>
            </w:r>
          </w:p>
        </w:tc>
        <w:tc>
          <w:tcPr>
            <w:tcW w:type="dxa" w:w="19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Shares</w:t>
            </w:r>
          </w:p>
        </w:tc>
        <w:tc>
          <w:tcPr>
            <w:tcW w:type="dxa" w:w="21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Percent Outstanding</w:t>
            </w:r>
          </w:p>
        </w:tc>
        <w:tc>
          <w:tcPr>
            <w:tcW w:type="dxa" w:w="196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Percent Fully Diluted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Pavel Georgiev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5,600,000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70.00%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56.00%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Simona Simeonova-Georgieva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2,400,000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30.00%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24.00%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Equity incentive reserve (unissued)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2,000,000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20.00%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Total outstanding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8,000,000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100.00%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Total fully diluted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10,000,000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100.00%</w:t>
            </w:r>
          </w:p>
        </w:tc>
      </w:tr>
    </w:tbl>
    <w:p>
      <w:pPr>
        <w:spacing w:after="200" w:line="276"/>
        <w:jc w:val="both"/>
      </w:pPr>
      <w:r>
        <w:rPr>
          <w:sz w:val="22"/>
          <w:szCs w:val="22"/>
        </w:rPr>
        <w:t xml:space="preserve"/>
      </w:r>
    </w:p>
    <w:p>
      <w:pPr>
        <w:keepNext/>
        <w:spacing w:after="140" w:before="260" w:line="276"/>
      </w:pPr>
      <w:r>
        <w:rPr>
          <w:b/>
          <w:bCs/>
          <w:sz w:val="22"/>
          <w:szCs w:val="22"/>
        </w:rPr>
        <w:t xml:space="preserve">Vesting Schedule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000"/>
        <w:gridCol w:w="2000"/>
        <w:gridCol w:w="1260"/>
      </w:tblGrid>
      <w:tr>
        <w:trPr>
          <w:tblHeader/>
        </w:trPr>
        <w:tc>
          <w:tcPr>
            <w:tcW w:type="dxa" w:w="26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Founder</w:t>
            </w:r>
          </w:p>
        </w:tc>
        <w:tc>
          <w:tcPr>
            <w:tcW w:type="dxa" w:w="15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Shares</w:t>
            </w:r>
          </w:p>
        </w:tc>
        <w:tc>
          <w:tcPr>
            <w:tcW w:type="dxa" w:w="20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Vesting Commencement</w:t>
            </w:r>
          </w:p>
        </w:tc>
        <w:tc>
          <w:tcPr>
            <w:tcW w:type="dxa" w:w="20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Cliff (25%)</w:t>
            </w:r>
          </w:p>
        </w:tc>
        <w:tc>
          <w:tcPr>
            <w:tcW w:type="dxa" w:w="126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Fully Vested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Pavel Georgiev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5,600,000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[DATE OF INCORPORATION]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1,400,000 at 12 months</w:t>
            </w:r>
          </w:p>
        </w:tc>
        <w:tc>
          <w:tcPr>
            <w:tcW w:type="dxa" w:w="1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4th anniversary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Simona Simeonova-Georgieva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2,400,000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[DATE OF INCORPORATION]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600,000 at 12 months</w:t>
            </w:r>
          </w:p>
        </w:tc>
        <w:tc>
          <w:tcPr>
            <w:tcW w:type="dxa" w:w="1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>4th anniversary</w:t>
            </w:r>
          </w:p>
        </w:tc>
      </w:tr>
    </w:tbl>
    <w:p>
      <w:pPr>
        <w:spacing w:after="20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80" w:line="276"/>
        <w:jc w:val="both"/>
      </w:pPr>
      <w:r>
        <w:rPr>
          <w:sz w:val="19"/>
          <w:szCs w:val="19"/>
        </w:rPr>
        <w:t xml:space="preserve">After the cliff, an additional 1/48th of each founder's total shares vests at the end of each full month: 116,666 shares per month for Pavel Georgiev (with rounding trued up in the final month) and 50,000 shares per month for Simona Simeonova-Georgieva.</w:t>
      </w:r>
    </w:p>
    <w:p>
      <w:pPr>
        <w:keepNext/>
        <w:spacing w:after="140" w:before="260" w:line="276"/>
      </w:pPr>
      <w:r>
        <w:rPr>
          <w:b/>
          <w:bCs/>
          <w:sz w:val="22"/>
          <w:szCs w:val="22"/>
        </w:rPr>
        <w:t xml:space="preserve">Transaction Log</w:t>
      </w:r>
    </w:p>
    <w:p>
      <w:pPr>
        <w:spacing w:after="180" w:line="276"/>
        <w:jc w:val="both"/>
      </w:pPr>
      <w:r>
        <w:rPr>
          <w:i/>
          <w:iCs/>
          <w:sz w:val="19"/>
          <w:szCs w:val="19"/>
        </w:rPr>
        <w:t xml:space="preserve">Record every subsequent issuance, transfer, repurchase, cancellation and option grant below. This ledger is the Company's official record of ownership.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1400"/>
        <w:gridCol w:w="1360"/>
      </w:tblGrid>
      <w:tr>
        <w:trPr>
          <w:tblHeader/>
        </w:trPr>
        <w:tc>
          <w:tcPr>
            <w:tcW w:type="dxa" w:w="16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Holder</w:t>
            </w:r>
          </w:p>
        </w:tc>
        <w:tc>
          <w:tcPr>
            <w:tcW w:type="dxa" w:w="24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Transaction</w:t>
            </w:r>
          </w:p>
        </w:tc>
        <w:tc>
          <w:tcPr>
            <w:tcW w:type="dxa" w:w="140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Shares</w:t>
            </w:r>
          </w:p>
        </w:tc>
        <w:tc>
          <w:tcPr>
            <w:tcW w:type="dxa" w:w="1360"/>
            <w:shd w:fill="EDEF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Balance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4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80" w:line="276"/>
        <w:jc w:val="both"/>
      </w:pPr>
      <w:r>
        <w:rPr>
          <w:b/>
          <w:bCs/>
          <w:sz w:val="22"/>
          <w:szCs w:val="22"/>
        </w:rPr>
        <w:t xml:space="preserve">CERTIFICATION</w:t>
      </w:r>
    </w:p>
    <w:p>
      <w:pPr>
        <w:spacing w:after="180" w:line="276"/>
        <w:jc w:val="both"/>
      </w:pPr>
      <w:r>
        <w:rPr>
          <w:sz w:val="22"/>
          <w:szCs w:val="22"/>
        </w:rPr>
        <w:t xml:space="preserve">The undersigned, Secretary of the Company, certifies that the foregoing is a true and complete record of the issued and outstanding capital stock of the Company as of the date set forth below.</w:t>
      </w:r>
    </w:p>
    <w:p>
      <w:pPr>
        <w:spacing w:after="40" w:before="40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Simona Simeonova-Georgieva</w:t>
      </w:r>
    </w:p>
    <w:p>
      <w:pPr>
        <w:spacing w:after="20"/>
      </w:pPr>
      <w:r>
        <w:rPr>
          <w:sz w:val="22"/>
          <w:szCs w:val="22"/>
        </w:rPr>
        <w:t xml:space="preserve">Secretary</w:t>
      </w:r>
    </w:p>
    <w:p>
      <w:pPr>
        <w:spacing w:after="120" w:before="160"/>
      </w:pPr>
      <w:r>
        <w:rPr>
          <w:sz w:val="22"/>
          <w:szCs w:val="22"/>
        </w:rPr>
        <w:t xml:space="preserve">Date: _____________________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iLaunchify, Inc. — Stock Ledger and Cap Table</w:t>
    </w:r>
    <w:r>
      <w:rPr>
        <w:sz w:val="16"/>
        <w:szCs w:val="16"/>
      </w:rPr>
      <w:t xml:space="preserve">	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2026-07-27T20:08:57.942Z</dcterms:created>
  <dcterms:modified xsi:type="dcterms:W3CDTF">2026-07-27T20:08:57.942Z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