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iLaunchify Privacy Policy</w:t>
      </w:r>
    </w:p>
    <w:p>
      <w:pPr>
        <w:spacing w:after="120"/>
      </w:pPr>
      <w:r>
        <w:rPr>
          <w:rFonts w:ascii="Arial" w:hAnsi="Arial"/>
          <w:b w:val="0"/>
          <w:i/>
          <w:sz w:val="22"/>
        </w:rPr>
        <w:t>Effective Date: [Effective Date]</w:t>
      </w:r>
    </w:p>
    <w:p>
      <w:pPr>
        <w:spacing w:after="120"/>
      </w:pPr>
      <w:r>
        <w:rPr>
          <w:rFonts w:ascii="Arial" w:hAnsi="Arial"/>
          <w:b w:val="0"/>
          <w:i/>
          <w:sz w:val="22"/>
        </w:rPr>
        <w:t>Version: 1.0 (Initial Draft)</w:t>
      </w:r>
    </w:p>
    <w:p>
      <w:pPr>
        <w:spacing w:after="120"/>
      </w:pPr>
      <w:r>
        <w:rPr>
          <w:b/>
          <w:color w:val="B00020"/>
          <w:sz w:val="22"/>
        </w:rPr>
        <w:t>DRAFT FOR LAWYER REVIEW — NOT LEGAL ADVICE</w:t>
      </w:r>
    </w:p>
    <w:p>
      <w:pPr>
        <w:spacing w:after="120"/>
      </w:pPr>
      <w:r>
        <w:rPr>
          <w:b/>
          <w:color w:val="B00020"/>
          <w:sz w:val="22"/>
        </w:rPr>
        <w:t>This document was generated to provide a starting point for legal counsel. It is not legally binding, has not been reviewed by a licensed attorney, and should not be relied on as legal advice. Pavel and counsel must review, redline, and finalize every section before this document is presented to a user, customer, or counterparty.</w:t>
      </w:r>
    </w:p>
    <w:p>
      <w:pPr>
        <w:spacing w:after="120"/>
      </w:pPr>
      <w:r>
        <w:rPr>
          <w:b/>
          <w:color w:val="B00020"/>
          <w:sz w:val="22"/>
        </w:rPr>
        <w:t>Placeholders in [BRACKETS] indicate company-specific information that must be supplied by Pavel. Markers labeled [LAWYER REVIEW: ...] indicate sections requiring specific legal judgment.</w:t>
      </w:r>
    </w:p>
    <w:p>
      <w:pPr>
        <w:pBdr>
          <w:bottom w:val="single" w:sz="6" w:space="1" w:color="888888"/>
        </w:pBdr>
      </w:pPr>
    </w:p>
    <w:p>
      <w:pPr>
        <w:keepNext/>
        <w:spacing w:before="240" w:after="80"/>
      </w:pPr>
      <w:r>
        <w:rPr>
          <w:rFonts w:ascii="Arial" w:hAnsi="Arial"/>
          <w:b/>
          <w:sz w:val="24"/>
        </w:rPr>
        <w:t>Pavel — fill these before sending to counsel</w:t>
      </w:r>
    </w:p>
    <w:p>
      <w:pPr>
        <w:spacing w:after="40"/>
      </w:pPr>
      <w:r>
        <w:rPr>
          <w:rFonts w:ascii="Arial" w:hAnsi="Arial"/>
          <w:b/>
          <w:sz w:val="22"/>
        </w:rPr>
        <w:t>☐  [Legal Entity Name]</w:t>
      </w:r>
      <w:r>
        <w:rPr>
          <w:rFonts w:ascii="Arial" w:hAnsi="Arial"/>
          <w:i/>
          <w:sz w:val="22"/>
        </w:rPr>
        <w:t xml:space="preserve">  — e.g., "iLaunchify, Inc."</w:t>
      </w:r>
    </w:p>
    <w:p>
      <w:pPr>
        <w:spacing w:after="40"/>
      </w:pPr>
      <w:r>
        <w:rPr>
          <w:rFonts w:ascii="Arial" w:hAnsi="Arial"/>
          <w:b/>
          <w:sz w:val="22"/>
        </w:rPr>
        <w:t>☐  [Entity Form]</w:t>
      </w:r>
      <w:r>
        <w:rPr>
          <w:rFonts w:ascii="Arial" w:hAnsi="Arial"/>
          <w:i/>
          <w:sz w:val="22"/>
        </w:rPr>
        <w:t xml:space="preserve">  — e.g., "a Delaware corporation"</w:t>
      </w:r>
    </w:p>
    <w:p>
      <w:pPr>
        <w:spacing w:after="40"/>
      </w:pPr>
      <w:r>
        <w:rPr>
          <w:rFonts w:ascii="Arial" w:hAnsi="Arial"/>
          <w:b/>
          <w:sz w:val="22"/>
        </w:rPr>
        <w:t>☐  [Registered Address]</w:t>
      </w:r>
      <w:r>
        <w:rPr>
          <w:rFonts w:ascii="Arial" w:hAnsi="Arial"/>
          <w:i/>
          <w:sz w:val="22"/>
        </w:rPr>
        <w:t xml:space="preserve">  — for postal notices and regulator filings</w:t>
      </w:r>
    </w:p>
    <w:p>
      <w:pPr>
        <w:spacing w:after="40"/>
      </w:pPr>
      <w:r>
        <w:rPr>
          <w:rFonts w:ascii="Arial" w:hAnsi="Arial"/>
          <w:b/>
          <w:sz w:val="22"/>
        </w:rPr>
        <w:t>☐  [Privacy Contact Email]</w:t>
      </w:r>
      <w:r>
        <w:rPr>
          <w:rFonts w:ascii="Arial" w:hAnsi="Arial"/>
          <w:i/>
          <w:sz w:val="22"/>
        </w:rPr>
        <w:t xml:space="preserve">  — e.g., privacy@ilaunchify.com — must be monitored daily</w:t>
      </w:r>
    </w:p>
    <w:p>
      <w:pPr>
        <w:spacing w:after="40"/>
      </w:pPr>
      <w:r>
        <w:rPr>
          <w:rFonts w:ascii="Arial" w:hAnsi="Arial"/>
          <w:b/>
          <w:sz w:val="22"/>
        </w:rPr>
        <w:t>☐  [DPO Name]</w:t>
      </w:r>
      <w:r>
        <w:rPr>
          <w:rFonts w:ascii="Arial" w:hAnsi="Arial"/>
          <w:i/>
          <w:sz w:val="22"/>
        </w:rPr>
        <w:t xml:space="preserve">  — if appointed; otherwise mark Not Applicable for V1 (US only)</w:t>
      </w:r>
    </w:p>
    <w:p>
      <w:pPr>
        <w:spacing w:after="40"/>
      </w:pPr>
      <w:r>
        <w:rPr>
          <w:rFonts w:ascii="Arial" w:hAnsi="Arial"/>
          <w:b/>
          <w:sz w:val="22"/>
        </w:rPr>
        <w:t>☐  [EU Representative]</w:t>
      </w:r>
      <w:r>
        <w:rPr>
          <w:rFonts w:ascii="Arial" w:hAnsi="Arial"/>
          <w:i/>
          <w:sz w:val="22"/>
        </w:rPr>
        <w:t xml:space="preserve">  — appoint when EU markets open per V1.5+</w:t>
      </w:r>
    </w:p>
    <w:p>
      <w:pPr>
        <w:spacing w:after="40"/>
      </w:pPr>
      <w:r>
        <w:rPr>
          <w:rFonts w:ascii="Arial" w:hAnsi="Arial"/>
          <w:b/>
          <w:sz w:val="22"/>
        </w:rPr>
        <w:t>☐  [Subprocessor List URL]</w:t>
      </w:r>
      <w:r>
        <w:rPr>
          <w:rFonts w:ascii="Arial" w:hAnsi="Arial"/>
          <w:i/>
          <w:sz w:val="22"/>
        </w:rPr>
        <w:t xml:space="preserve">  — public page or in-app surface listing current subprocessors</w:t>
      </w:r>
    </w:p>
    <w:p>
      <w:pPr>
        <w:spacing w:after="40"/>
      </w:pPr>
      <w:r>
        <w:rPr>
          <w:rFonts w:ascii="Arial" w:hAnsi="Arial"/>
          <w:b/>
          <w:sz w:val="22"/>
        </w:rPr>
        <w:t>☐  [Effective Date]</w:t>
      </w:r>
      <w:r>
        <w:rPr>
          <w:rFonts w:ascii="Arial" w:hAnsi="Arial"/>
          <w:i/>
          <w:sz w:val="22"/>
        </w:rPr>
        <w:t xml:space="preserve">  — first date this Policy applies</w:t>
      </w:r>
    </w:p>
    <w:p>
      <w:pPr>
        <w:spacing w:after="40"/>
      </w:pPr>
      <w:r>
        <w:rPr>
          <w:rFonts w:ascii="Arial" w:hAnsi="Arial"/>
          <w:b/>
          <w:sz w:val="22"/>
        </w:rPr>
        <w:t>☐  [Breach Notification Window]</w:t>
      </w:r>
      <w:r>
        <w:rPr>
          <w:rFonts w:ascii="Arial" w:hAnsi="Arial"/>
          <w:i/>
          <w:sz w:val="22"/>
        </w:rPr>
        <w:t xml:space="preserve">  — e.g., "72 hours" — must align with applicable law</w:t>
      </w:r>
    </w:p>
    <w:p>
      <w:pPr>
        <w:spacing w:after="40"/>
      </w:pPr>
      <w:r>
        <w:rPr>
          <w:rFonts w:ascii="Arial" w:hAnsi="Arial"/>
          <w:b/>
          <w:sz w:val="22"/>
        </w:rPr>
        <w:t>☐  [Data Retention - Orders]</w:t>
      </w:r>
      <w:r>
        <w:rPr>
          <w:rFonts w:ascii="Arial" w:hAnsi="Arial"/>
          <w:i/>
          <w:sz w:val="22"/>
        </w:rPr>
        <w:t xml:space="preserve">  — e.g., "7 years"</w:t>
      </w:r>
    </w:p>
    <w:p>
      <w:pPr>
        <w:spacing w:after="40"/>
      </w:pPr>
      <w:r>
        <w:rPr>
          <w:rFonts w:ascii="Arial" w:hAnsi="Arial"/>
          <w:b/>
          <w:sz w:val="22"/>
        </w:rPr>
        <w:t>☐  [Data Retention - AuditLog]</w:t>
      </w:r>
      <w:r>
        <w:rPr>
          <w:rFonts w:ascii="Arial" w:hAnsi="Arial"/>
          <w:i/>
          <w:sz w:val="22"/>
        </w:rPr>
        <w:t xml:space="preserve">  — e.g., "7 years"</w:t>
      </w:r>
    </w:p>
    <w:p>
      <w:pPr>
        <w:spacing w:after="40"/>
      </w:pPr>
      <w:r>
        <w:rPr>
          <w:rFonts w:ascii="Arial" w:hAnsi="Arial"/>
          <w:b/>
          <w:sz w:val="22"/>
        </w:rPr>
        <w:t>☐  [Data Retention - Account Data]</w:t>
      </w:r>
      <w:r>
        <w:rPr>
          <w:rFonts w:ascii="Arial" w:hAnsi="Arial"/>
          <w:i/>
          <w:sz w:val="22"/>
        </w:rPr>
        <w:t xml:space="preserve">  — e.g., "until deletion request, then 30 days"</w:t>
      </w:r>
    </w:p>
    <w:p>
      <w:pPr>
        <w:spacing w:after="40"/>
      </w:pPr>
      <w:r>
        <w:rPr>
          <w:rFonts w:ascii="Arial" w:hAnsi="Arial"/>
          <w:b/>
          <w:sz w:val="22"/>
        </w:rPr>
        <w:t>☐  [Cookie Banner Vendor]</w:t>
      </w:r>
      <w:r>
        <w:rPr>
          <w:rFonts w:ascii="Arial" w:hAnsi="Arial"/>
          <w:i/>
          <w:sz w:val="22"/>
        </w:rPr>
        <w:t xml:space="preserve">  — if any (e.g., OneTrust, Osano)</w:t>
      </w:r>
    </w:p>
    <w:p>
      <w:pPr>
        <w:spacing w:after="40"/>
      </w:pPr>
      <w:r>
        <w:rPr>
          <w:rFonts w:ascii="Arial" w:hAnsi="Arial"/>
          <w:b/>
          <w:sz w:val="22"/>
        </w:rPr>
        <w:t>☐  [State Privacy Verification Method]</w:t>
      </w:r>
      <w:r>
        <w:rPr>
          <w:rFonts w:ascii="Arial" w:hAnsi="Arial"/>
          <w:i/>
          <w:sz w:val="22"/>
        </w:rPr>
        <w:t xml:space="preserve">  — how a CCPA/CPRA request is verified</w:t>
      </w:r>
    </w:p>
    <w:p>
      <w:pPr>
        <w:pBdr>
          <w:bottom w:val="single" w:sz="6" w:space="1" w:color="888888"/>
        </w:pBdr>
      </w:pPr>
    </w:p>
    <w:p>
      <w:pPr>
        <w:keepNext/>
        <w:spacing w:before="360" w:after="120"/>
      </w:pPr>
      <w:r>
        <w:rPr>
          <w:rFonts w:ascii="Arial" w:hAnsi="Arial"/>
          <w:b/>
          <w:sz w:val="30"/>
        </w:rPr>
        <w:t>1. Introduction</w:t>
      </w:r>
    </w:p>
    <w:p>
      <w:pPr>
        <w:spacing w:after="120"/>
      </w:pPr>
      <w:r>
        <w:rPr>
          <w:rFonts w:ascii="Arial" w:hAnsi="Arial"/>
          <w:b w:val="0"/>
          <w:i w:val="0"/>
          <w:sz w:val="22"/>
        </w:rPr>
        <w:t>[Legal Entity Name], [Entity Form] ("iLaunchify", "we", "us", or "our") respects your privacy. This Privacy Policy describes how we collect, use, share, and protect personal information when you use the iLaunchify platform and related websites, applications, and services (the "Service"). It applies to Creators, Partners, agency users, team members, applicants and leads, and to visitors of our marketing websites.</w:t>
      </w:r>
    </w:p>
    <w:p>
      <w:pPr>
        <w:spacing w:after="120"/>
      </w:pPr>
      <w:r>
        <w:rPr>
          <w:rFonts w:ascii="Arial" w:hAnsi="Arial"/>
          <w:b w:val="0"/>
          <w:i w:val="0"/>
          <w:sz w:val="22"/>
        </w:rPr>
        <w:t>This Policy does not apply to (a) end consumers who purchase finished goods from a Creator through that Creator's external channel (such as Shopify or Amazon) — those interactions are governed by the Creator's own privacy policy — or (b) third-party websites and services that we link to.</w:t>
      </w:r>
    </w:p>
    <w:p>
      <w:pPr>
        <w:keepNext/>
        <w:spacing w:before="360" w:after="120"/>
      </w:pPr>
      <w:r>
        <w:rPr>
          <w:rFonts w:ascii="Arial" w:hAnsi="Arial"/>
          <w:b/>
          <w:sz w:val="30"/>
        </w:rPr>
        <w:t>2. Information We Collect</w:t>
      </w:r>
    </w:p>
    <w:p>
      <w:pPr>
        <w:keepNext/>
        <w:spacing w:before="240" w:after="80"/>
      </w:pPr>
      <w:r>
        <w:rPr>
          <w:rFonts w:ascii="Arial" w:hAnsi="Arial"/>
          <w:b/>
          <w:sz w:val="24"/>
        </w:rPr>
        <w:t>2.1 Information You Provide</w:t>
      </w:r>
    </w:p>
    <w:p>
      <w:pPr>
        <w:pStyle w:val="ListBullet"/>
      </w:pPr>
      <w:r>
        <w:rPr>
          <w:rFonts w:ascii="Arial" w:hAnsi="Arial"/>
          <w:sz w:val="22"/>
        </w:rPr>
        <w:t>Account information: name, business or brand name, email address, password, phone number, time zone, role (Creator / Partner / agency / team member).</w:t>
      </w:r>
    </w:p>
    <w:p>
      <w:pPr>
        <w:pStyle w:val="ListBullet"/>
      </w:pPr>
      <w:r>
        <w:rPr>
          <w:rFonts w:ascii="Arial" w:hAnsi="Arial"/>
          <w:sz w:val="22"/>
        </w:rPr>
        <w:t>Business and verification information: legal entity name, registered address, jurisdiction of incorporation, business registration documents, tax identifiers, certifications, facility addresses, capabilities, and other onboarding documents.</w:t>
      </w:r>
    </w:p>
    <w:p>
      <w:pPr>
        <w:pStyle w:val="ListBullet"/>
      </w:pPr>
      <w:r>
        <w:rPr>
          <w:rFonts w:ascii="Arial" w:hAnsi="Arial"/>
          <w:sz w:val="22"/>
        </w:rPr>
        <w:t>Payment and payout information: payment cards, bank account or payout details, Stripe Connect account identifiers, billing addresses. Card details and bank account numbers are submitted directly to Stripe and stored by Stripe; iLaunchify stores only tokenized references and account identifiers.</w:t>
      </w:r>
    </w:p>
    <w:p>
      <w:pPr>
        <w:pStyle w:val="ListBullet"/>
      </w:pPr>
      <w:r>
        <w:rPr>
          <w:rFonts w:ascii="Arial" w:hAnsi="Arial"/>
          <w:sz w:val="22"/>
        </w:rPr>
        <w:t>Brand and product content: brand assets (logos, color palettes, typography), product formulations, recipes, label designs, packaging dielines, certifications, photography, and copy.</w:t>
      </w:r>
    </w:p>
    <w:p>
      <w:pPr>
        <w:pStyle w:val="ListBullet"/>
      </w:pPr>
      <w:r>
        <w:rPr>
          <w:rFonts w:ascii="Arial" w:hAnsi="Arial"/>
          <w:sz w:val="22"/>
        </w:rPr>
        <w:t>Order data: purchase orders, manifests, dispatches, shipping addresses, fulfillment events, and creator-partner correspondence.</w:t>
      </w:r>
    </w:p>
    <w:p>
      <w:pPr>
        <w:pStyle w:val="ListBullet"/>
      </w:pPr>
      <w:r>
        <w:rPr>
          <w:rFonts w:ascii="Arial" w:hAnsi="Arial"/>
          <w:sz w:val="22"/>
        </w:rPr>
        <w:t>Support communications: messages you send to us, surveys, and similar.</w:t>
      </w:r>
    </w:p>
    <w:p>
      <w:pPr>
        <w:keepNext/>
        <w:spacing w:before="240" w:after="80"/>
      </w:pPr>
      <w:r>
        <w:rPr>
          <w:rFonts w:ascii="Arial" w:hAnsi="Arial"/>
          <w:b/>
          <w:sz w:val="24"/>
        </w:rPr>
        <w:t>2.2 Information Collected Automatically</w:t>
      </w:r>
    </w:p>
    <w:p>
      <w:pPr>
        <w:pStyle w:val="ListBullet"/>
      </w:pPr>
      <w:r>
        <w:rPr>
          <w:rFonts w:ascii="Arial" w:hAnsi="Arial"/>
          <w:sz w:val="22"/>
        </w:rPr>
        <w:t>Device and log data: IP address, browser type and version, operating system, device identifiers, language, referring/exit pages, click events.</w:t>
      </w:r>
    </w:p>
    <w:p>
      <w:pPr>
        <w:pStyle w:val="ListBullet"/>
      </w:pPr>
      <w:r>
        <w:rPr>
          <w:rFonts w:ascii="Arial" w:hAnsi="Arial"/>
          <w:sz w:val="22"/>
        </w:rPr>
        <w:t>Usage data: pages viewed, features used, in-app actions, design events, and similar telemetry. iLaunchify maintains an internal AuditLog of platform actions for security, compliance, and dispute resolution.</w:t>
      </w:r>
    </w:p>
    <w:p>
      <w:pPr>
        <w:pStyle w:val="ListBullet"/>
      </w:pPr>
      <w:r>
        <w:rPr>
          <w:rFonts w:ascii="Arial" w:hAnsi="Arial"/>
          <w:sz w:val="22"/>
        </w:rPr>
        <w:t>Cookies and similar technologies: see Section 6.</w:t>
      </w:r>
    </w:p>
    <w:p>
      <w:pPr>
        <w:keepNext/>
        <w:spacing w:before="240" w:after="80"/>
      </w:pPr>
      <w:r>
        <w:rPr>
          <w:rFonts w:ascii="Arial" w:hAnsi="Arial"/>
          <w:b/>
          <w:sz w:val="24"/>
        </w:rPr>
        <w:t>2.3 Information from Third Parties</w:t>
      </w:r>
    </w:p>
    <w:p>
      <w:pPr>
        <w:pStyle w:val="ListBullet"/>
      </w:pPr>
      <w:r>
        <w:rPr>
          <w:rFonts w:ascii="Arial" w:hAnsi="Arial"/>
          <w:sz w:val="22"/>
        </w:rPr>
        <w:t>Stripe (payments and identity verification artifacts).</w:t>
      </w:r>
    </w:p>
    <w:p>
      <w:pPr>
        <w:pStyle w:val="ListBullet"/>
      </w:pPr>
      <w:r>
        <w:rPr>
          <w:rFonts w:ascii="Arial" w:hAnsi="Arial"/>
          <w:sz w:val="22"/>
        </w:rPr>
        <w:t>Email delivery providers (e.g., Resend) for delivery receipts and bounce signals.</w:t>
      </w:r>
    </w:p>
    <w:p>
      <w:pPr>
        <w:pStyle w:val="ListBullet"/>
      </w:pPr>
      <w:r>
        <w:rPr>
          <w:rFonts w:ascii="Arial" w:hAnsi="Arial"/>
          <w:sz w:val="22"/>
        </w:rPr>
        <w:t>External sales channels you choose to connect (e.g., Shopify, Amazon, Etsy, TikTok Shop, Walmart, WooCommerce) — only as you authorize.</w:t>
      </w:r>
    </w:p>
    <w:p>
      <w:pPr>
        <w:pStyle w:val="ListBullet"/>
      </w:pPr>
      <w:r>
        <w:rPr>
          <w:rFonts w:ascii="Arial" w:hAnsi="Arial"/>
          <w:sz w:val="22"/>
        </w:rPr>
        <w:t>Public regulatory data sources (e.g., USDA FoodData Central, FDA-published guidance) used to populate ingredient and rule data — these sources do not contain User personal information.</w:t>
      </w:r>
    </w:p>
    <w:p>
      <w:pPr>
        <w:pStyle w:val="ListBullet"/>
      </w:pPr>
      <w:r>
        <w:rPr>
          <w:rFonts w:ascii="Arial" w:hAnsi="Arial"/>
          <w:sz w:val="22"/>
        </w:rPr>
        <w:t>Anti-fraud and verification services.</w:t>
      </w:r>
    </w:p>
    <w:p>
      <w:pPr>
        <w:keepNext/>
        <w:spacing w:before="360" w:after="120"/>
      </w:pPr>
      <w:r>
        <w:rPr>
          <w:rFonts w:ascii="Arial" w:hAnsi="Arial"/>
          <w:b/>
          <w:sz w:val="30"/>
        </w:rPr>
        <w:t>3. How We Use Information</w:t>
      </w:r>
    </w:p>
    <w:p>
      <w:pPr>
        <w:pStyle w:val="ListBullet"/>
      </w:pPr>
      <w:r>
        <w:rPr>
          <w:rFonts w:ascii="Arial" w:hAnsi="Arial"/>
          <w:sz w:val="22"/>
        </w:rPr>
        <w:t>Provide, maintain, and improve the Service, including account setup, design tooling, marketplace browsing, order routing, partner verification, payouts, and customer support.</w:t>
      </w:r>
    </w:p>
    <w:p>
      <w:pPr>
        <w:pStyle w:val="ListBullet"/>
      </w:pPr>
      <w:r>
        <w:rPr>
          <w:rFonts w:ascii="Arial" w:hAnsi="Arial"/>
          <w:sz w:val="22"/>
        </w:rPr>
        <w:t>Verify identity, evaluate Partner applications, and decide on tier eligibility.</w:t>
      </w:r>
    </w:p>
    <w:p>
      <w:pPr>
        <w:pStyle w:val="ListBullet"/>
      </w:pPr>
      <w:r>
        <w:rPr>
          <w:rFonts w:ascii="Arial" w:hAnsi="Arial"/>
          <w:sz w:val="22"/>
        </w:rPr>
        <w:t>Operate the orchestration workflow — routing each order across one or more Partners and sharing the minimum production-relevant subset of information with each.</w:t>
      </w:r>
    </w:p>
    <w:p>
      <w:pPr>
        <w:pStyle w:val="ListBullet"/>
      </w:pPr>
      <w:r>
        <w:rPr>
          <w:rFonts w:ascii="Arial" w:hAnsi="Arial"/>
          <w:sz w:val="22"/>
        </w:rPr>
        <w:t>Run compliance scans, ingredient checks, and similar tooling.</w:t>
      </w:r>
    </w:p>
    <w:p>
      <w:pPr>
        <w:pStyle w:val="ListBullet"/>
      </w:pPr>
      <w:r>
        <w:rPr>
          <w:rFonts w:ascii="Arial" w:hAnsi="Arial"/>
          <w:sz w:val="22"/>
        </w:rPr>
        <w:t>Detect, prevent, and respond to fraud, abuse, security incidents, and unlawful activity.</w:t>
      </w:r>
    </w:p>
    <w:p>
      <w:pPr>
        <w:pStyle w:val="ListBullet"/>
      </w:pPr>
      <w:r>
        <w:rPr>
          <w:rFonts w:ascii="Arial" w:hAnsi="Arial"/>
          <w:sz w:val="22"/>
        </w:rPr>
        <w:t>Conduct analytics, research, and product development.</w:t>
      </w:r>
    </w:p>
    <w:p>
      <w:pPr>
        <w:pStyle w:val="ListBullet"/>
      </w:pPr>
      <w:r>
        <w:rPr>
          <w:rFonts w:ascii="Arial" w:hAnsi="Arial"/>
          <w:sz w:val="22"/>
        </w:rPr>
        <w:t>Communicate with you about your account, transactions, and service-related notices.</w:t>
      </w:r>
    </w:p>
    <w:p>
      <w:pPr>
        <w:pStyle w:val="ListBullet"/>
      </w:pPr>
      <w:r>
        <w:rPr>
          <w:rFonts w:ascii="Arial" w:hAnsi="Arial"/>
          <w:sz w:val="22"/>
        </w:rPr>
        <w:t>Send marketing and product communications, where permitted by law and your preferences; you can opt out at any time.</w:t>
      </w:r>
    </w:p>
    <w:p>
      <w:pPr>
        <w:pStyle w:val="ListBullet"/>
      </w:pPr>
      <w:r>
        <w:rPr>
          <w:rFonts w:ascii="Arial" w:hAnsi="Arial"/>
          <w:sz w:val="22"/>
        </w:rPr>
        <w:t>Comply with legal, tax, accounting, audit, and regulatory obligations and to enforce our agreements.</w:t>
      </w:r>
    </w:p>
    <w:p>
      <w:pPr>
        <w:keepNext/>
        <w:spacing w:before="360" w:after="120"/>
      </w:pPr>
      <w:r>
        <w:rPr>
          <w:rFonts w:ascii="Arial" w:hAnsi="Arial"/>
          <w:b/>
          <w:sz w:val="30"/>
        </w:rPr>
        <w:t>4. Legal Bases (Where Applicable)</w:t>
      </w:r>
    </w:p>
    <w:p>
      <w:pPr>
        <w:spacing w:after="120"/>
      </w:pPr>
      <w:r>
        <w:rPr>
          <w:rFonts w:ascii="Arial" w:hAnsi="Arial"/>
          <w:b w:val="0"/>
          <w:i w:val="0"/>
          <w:sz w:val="22"/>
        </w:rPr>
        <w:t>Where local law requires a legal basis for processing (such as the EU/UK GDPR upon V1.5+/V2 expansion), we rely on: (a) performance of a contract with you; (b) our legitimate interests in operating, securing, and improving the Service (balanced against your interests); (c) compliance with legal obligations; and (d) your consent, where required, which you can withdraw at any time without affecting the lawfulness of processing before withdrawal. The Service is operated in the United States in V1; please see Section 10 for information about international transfers.</w:t>
      </w:r>
    </w:p>
    <w:p>
      <w:pPr>
        <w:keepNext/>
        <w:spacing w:before="360" w:after="120"/>
      </w:pPr>
      <w:r>
        <w:rPr>
          <w:rFonts w:ascii="Arial" w:hAnsi="Arial"/>
          <w:b/>
          <w:sz w:val="30"/>
        </w:rPr>
        <w:t>5. How We Share Information</w:t>
      </w:r>
    </w:p>
    <w:p>
      <w:pPr>
        <w:keepNext/>
        <w:spacing w:before="240" w:after="80"/>
      </w:pPr>
      <w:r>
        <w:rPr>
          <w:rFonts w:ascii="Arial" w:hAnsi="Arial"/>
          <w:b/>
          <w:sz w:val="24"/>
        </w:rPr>
        <w:t>5.1 With Partners</w:t>
      </w:r>
    </w:p>
    <w:p>
      <w:pPr>
        <w:spacing w:after="120"/>
      </w:pPr>
      <w:r>
        <w:rPr>
          <w:rFonts w:ascii="Arial" w:hAnsi="Arial"/>
          <w:b w:val="0"/>
          <w:i w:val="0"/>
          <w:sz w:val="22"/>
        </w:rPr>
        <w:t>When you place a production order, we share with the assigned Partner(s) only the production-relevant subset of information necessary to fulfill the order. This typically includes the product recipe, label design, packaging dielines, quantities, dispatch manifest, and ship-to address. We do not share Creator subscription data, payment-method details, or other Creator account data with Partners.</w:t>
      </w:r>
    </w:p>
    <w:p>
      <w:pPr>
        <w:keepNext/>
        <w:spacing w:before="240" w:after="80"/>
      </w:pPr>
      <w:r>
        <w:rPr>
          <w:rFonts w:ascii="Arial" w:hAnsi="Arial"/>
          <w:b/>
          <w:sz w:val="24"/>
        </w:rPr>
        <w:t>5.2 With Creators</w:t>
      </w:r>
    </w:p>
    <w:p>
      <w:pPr>
        <w:spacing w:after="120"/>
      </w:pPr>
      <w:r>
        <w:rPr>
          <w:rFonts w:ascii="Arial" w:hAnsi="Arial"/>
          <w:b w:val="0"/>
          <w:i w:val="0"/>
          <w:sz w:val="22"/>
        </w:rPr>
        <w:t>When a Partner is assigned to an order, we share with the Creator information about the Partner that is relevant to fulfillment (such as the Partner's display name, capabilities, certifications status, and performance indicators). Partners' confidential business information (banking details, capacity, internal pricing inputs) is not shared with Creators.</w:t>
      </w:r>
    </w:p>
    <w:p>
      <w:pPr>
        <w:keepNext/>
        <w:spacing w:before="240" w:after="80"/>
      </w:pPr>
      <w:r>
        <w:rPr>
          <w:rFonts w:ascii="Arial" w:hAnsi="Arial"/>
          <w:b/>
          <w:sz w:val="24"/>
        </w:rPr>
        <w:t>5.3 With Subprocessors and Service Providers</w:t>
      </w:r>
    </w:p>
    <w:p>
      <w:pPr>
        <w:spacing w:after="120"/>
      </w:pPr>
      <w:r>
        <w:rPr>
          <w:rFonts w:ascii="Arial" w:hAnsi="Arial"/>
          <w:b w:val="0"/>
          <w:i w:val="0"/>
          <w:sz w:val="22"/>
        </w:rPr>
        <w:t>We use vendors and service providers ("subprocessors") to operate the Service. Categories include payment processing (Stripe), email delivery (Resend), object storage (Cloudflare R2), database hosting (CockroachDB), application hosting and infrastructure, error monitoring and analytics, customer support tooling, and identity verification. Our then-current subprocessor list is published at [Subprocessor List URL].</w:t>
      </w:r>
    </w:p>
    <w:p>
      <w:pPr>
        <w:keepNext/>
        <w:spacing w:before="240" w:after="80"/>
      </w:pPr>
      <w:r>
        <w:rPr>
          <w:rFonts w:ascii="Arial" w:hAnsi="Arial"/>
          <w:b/>
          <w:sz w:val="24"/>
        </w:rPr>
        <w:t>5.4 With End Buyers — No</w:t>
      </w:r>
    </w:p>
    <w:p>
      <w:pPr>
        <w:spacing w:after="120"/>
      </w:pPr>
      <w:r>
        <w:rPr>
          <w:rFonts w:ascii="Arial" w:hAnsi="Arial"/>
          <w:b w:val="0"/>
          <w:i w:val="0"/>
          <w:sz w:val="22"/>
        </w:rPr>
        <w:t>iLaunchify is a business-to-business platform. We do not sell to end consumers and we do not disclose iLaunchify account or order data to a Creator's end consumers. If you are an end consumer who purchased a product produced through iLaunchify, please contact the Creator that sold you the product.</w:t>
      </w:r>
    </w:p>
    <w:p>
      <w:pPr>
        <w:keepNext/>
        <w:spacing w:before="240" w:after="80"/>
      </w:pPr>
      <w:r>
        <w:rPr>
          <w:rFonts w:ascii="Arial" w:hAnsi="Arial"/>
          <w:b/>
          <w:sz w:val="24"/>
        </w:rPr>
        <w:t>5.5 Legal, Safety, and Corporate Transactions</w:t>
      </w:r>
    </w:p>
    <w:p>
      <w:pPr>
        <w:spacing w:after="120"/>
      </w:pPr>
      <w:r>
        <w:rPr>
          <w:rFonts w:ascii="Arial" w:hAnsi="Arial"/>
          <w:b w:val="0"/>
          <w:i w:val="0"/>
          <w:sz w:val="22"/>
        </w:rPr>
        <w:t>We may disclose information (a) to comply with law, legal process, or governmental requests; (b) to enforce our agreements; (c) to detect, prevent, or address fraud, security, or technical issues; (d) to protect the rights, property, or safety of iLaunchify, our Users, or others; and (e) in connection with a merger, financing, acquisition, reorganization, sale of assets, bankruptcy, or similar transaction, subject to customary confidentiality protections.</w:t>
      </w:r>
    </w:p>
    <w:p>
      <w:pPr>
        <w:keepNext/>
        <w:spacing w:before="240" w:after="80"/>
      </w:pPr>
      <w:r>
        <w:rPr>
          <w:rFonts w:ascii="Arial" w:hAnsi="Arial"/>
          <w:b/>
          <w:sz w:val="24"/>
        </w:rPr>
        <w:t>5.6 With Your Direction</w:t>
      </w:r>
    </w:p>
    <w:p>
      <w:pPr>
        <w:spacing w:after="120"/>
      </w:pPr>
      <w:r>
        <w:rPr>
          <w:rFonts w:ascii="Arial" w:hAnsi="Arial"/>
          <w:b w:val="0"/>
          <w:i w:val="0"/>
          <w:sz w:val="22"/>
        </w:rPr>
        <w:t>We share information with the external sales channels you connect (such as Shopify, Amazon, Etsy, TikTok Shop, Walmart, WooCommerce) and with other third parties at your direction.</w:t>
      </w:r>
    </w:p>
    <w:p>
      <w:pPr>
        <w:keepNext/>
        <w:spacing w:before="360" w:after="120"/>
      </w:pPr>
      <w:r>
        <w:rPr>
          <w:rFonts w:ascii="Arial" w:hAnsi="Arial"/>
          <w:b/>
          <w:sz w:val="30"/>
        </w:rPr>
        <w:t>6. Cookies and Similar Technologies</w:t>
      </w:r>
    </w:p>
    <w:p>
      <w:pPr>
        <w:spacing w:after="120"/>
      </w:pPr>
      <w:r>
        <w:rPr>
          <w:rFonts w:ascii="Arial" w:hAnsi="Arial"/>
          <w:b w:val="0"/>
          <w:i w:val="0"/>
          <w:sz w:val="22"/>
        </w:rPr>
        <w:t>We use cookies, local storage, and similar technologies to operate the Service, remember preferences, authenticate sessions, measure performance, and (where permitted) deliver marketing. You can manage cookies through your browser settings; disabling some cookies may impair functionality. Where required by law, we present a cookie banner on first visit. [Cookie Banner Vendor].</w:t>
      </w:r>
    </w:p>
    <w:p>
      <w:pPr>
        <w:spacing w:after="120"/>
      </w:pPr>
      <w:r>
        <w:rPr>
          <w:rFonts w:ascii="Arial" w:hAnsi="Arial"/>
          <w:b w:val="0"/>
          <w:i w:val="0"/>
          <w:sz w:val="22"/>
        </w:rPr>
        <w:t>[LAWYER REVIEW: confirm cookie categories disclosed, the cookie banner UX, and Global Privacy Control (GPC) signal handling for California users.]</w:t>
      </w:r>
    </w:p>
    <w:p>
      <w:pPr>
        <w:keepNext/>
        <w:spacing w:before="360" w:after="120"/>
      </w:pPr>
      <w:r>
        <w:rPr>
          <w:rFonts w:ascii="Arial" w:hAnsi="Arial"/>
          <w:b/>
          <w:sz w:val="30"/>
        </w:rPr>
        <w:t>7. Data Retention</w:t>
      </w:r>
    </w:p>
    <w:p>
      <w:pPr>
        <w:spacing w:after="120"/>
      </w:pPr>
      <w:r>
        <w:rPr>
          <w:rFonts w:ascii="Arial" w:hAnsi="Arial"/>
          <w:b w:val="0"/>
          <w:i w:val="0"/>
          <w:sz w:val="22"/>
        </w:rPr>
        <w:t>We retain personal information for as long as necessary to provide the Service and for the purposes set out in this Policy, including to comply with legal, accounting, tax, audit, and regulatory obligations, to resolve disputes, and to enforce our agreements. Default retention windows include:</w:t>
      </w:r>
    </w:p>
    <w:p>
      <w:pPr>
        <w:pStyle w:val="ListBullet"/>
      </w:pPr>
      <w:r>
        <w:rPr>
          <w:rFonts w:ascii="Arial" w:hAnsi="Arial"/>
          <w:sz w:val="22"/>
        </w:rPr>
        <w:t>Order records and related billing data: [Data Retention - Orders] from the date of order completion or cancellation, in line with tax and accounting requirements.</w:t>
      </w:r>
    </w:p>
    <w:p>
      <w:pPr>
        <w:pStyle w:val="ListBullet"/>
      </w:pPr>
      <w:r>
        <w:rPr>
          <w:rFonts w:ascii="Arial" w:hAnsi="Arial"/>
          <w:sz w:val="22"/>
        </w:rPr>
        <w:t>Internal AuditLog (records of platform actions): [Data Retention - AuditLog].</w:t>
      </w:r>
    </w:p>
    <w:p>
      <w:pPr>
        <w:pStyle w:val="ListBullet"/>
      </w:pPr>
      <w:r>
        <w:rPr>
          <w:rFonts w:ascii="Arial" w:hAnsi="Arial"/>
          <w:sz w:val="22"/>
        </w:rPr>
        <w:t>Account profile data: [Data Retention - Account Data] (kept while your account is active and for a reasonable period after closure).</w:t>
      </w:r>
    </w:p>
    <w:p>
      <w:pPr>
        <w:pStyle w:val="ListBullet"/>
      </w:pPr>
      <w:r>
        <w:rPr>
          <w:rFonts w:ascii="Arial" w:hAnsi="Arial"/>
          <w:sz w:val="22"/>
        </w:rPr>
        <w:t>Communications and support tickets: a reasonable period sufficient for quality assurance and dispute resolution.</w:t>
      </w:r>
    </w:p>
    <w:p>
      <w:pPr>
        <w:spacing w:after="120"/>
      </w:pPr>
      <w:r>
        <w:rPr>
          <w:rFonts w:ascii="Arial" w:hAnsi="Arial"/>
          <w:b w:val="0"/>
          <w:i w:val="0"/>
          <w:sz w:val="22"/>
        </w:rPr>
        <w:t>[LAWYER REVIEW: align retention windows with state-specific accounting, tax, and product-liability statute-of-limitations periods.]</w:t>
      </w:r>
    </w:p>
    <w:p>
      <w:pPr>
        <w:keepNext/>
        <w:spacing w:before="360" w:after="120"/>
      </w:pPr>
      <w:r>
        <w:rPr>
          <w:rFonts w:ascii="Arial" w:hAnsi="Arial"/>
          <w:b/>
          <w:sz w:val="30"/>
        </w:rPr>
        <w:t>8. Your Privacy Choices and Rights</w:t>
      </w:r>
    </w:p>
    <w:p>
      <w:pPr>
        <w:spacing w:after="120"/>
      </w:pPr>
      <w:r>
        <w:rPr>
          <w:rFonts w:ascii="Arial" w:hAnsi="Arial"/>
          <w:b w:val="0"/>
          <w:i w:val="0"/>
          <w:sz w:val="22"/>
        </w:rPr>
        <w:t>Depending on where you are located and applicable law, you may have rights to (a) access the personal information we hold about you; (b) request correction of inaccurate information; (c) request deletion of personal information; (d) request a copy in a portable format; (e) object to or restrict certain processing; and (f) withdraw consent where processing is based on consent.</w:t>
      </w:r>
    </w:p>
    <w:p>
      <w:pPr>
        <w:spacing w:after="120"/>
      </w:pPr>
      <w:r>
        <w:rPr>
          <w:rFonts w:ascii="Arial" w:hAnsi="Arial"/>
          <w:b w:val="0"/>
          <w:i w:val="0"/>
          <w:sz w:val="22"/>
        </w:rPr>
        <w:t>You can exercise rights by emailing [Privacy Contact Email] from the email address associated with your account, or by using in-app controls where available. We will respond within the timeframes required by applicable law. We may need to verify your identity before fulfilling a request; for B2B account data, verification may require additional confirmation from the account owner.</w:t>
      </w:r>
    </w:p>
    <w:p>
      <w:pPr>
        <w:keepNext/>
        <w:spacing w:before="360" w:after="120"/>
      </w:pPr>
      <w:r>
        <w:rPr>
          <w:rFonts w:ascii="Arial" w:hAnsi="Arial"/>
          <w:b/>
          <w:sz w:val="30"/>
        </w:rPr>
        <w:t>9. U.S. State Privacy Rights</w:t>
      </w:r>
    </w:p>
    <w:p>
      <w:pPr>
        <w:spacing w:after="120"/>
      </w:pPr>
      <w:r>
        <w:rPr>
          <w:rFonts w:ascii="Arial" w:hAnsi="Arial"/>
          <w:b w:val="0"/>
          <w:i w:val="0"/>
          <w:sz w:val="22"/>
        </w:rPr>
        <w:t>Residents of California, Colorado, Connecticut, Virginia, Utah, Texas, Oregon, and other states with comprehensive privacy laws have specific rights. The following section addresses the California Consumer Privacy Act, as amended by the California Privacy Rights Act (collectively, "CCPA/CPRA").</w:t>
      </w:r>
    </w:p>
    <w:p>
      <w:pPr>
        <w:keepNext/>
        <w:spacing w:before="240" w:after="80"/>
      </w:pPr>
      <w:r>
        <w:rPr>
          <w:rFonts w:ascii="Arial" w:hAnsi="Arial"/>
          <w:b/>
          <w:sz w:val="24"/>
        </w:rPr>
        <w:t>9.1 Categories Collected (CCPA/CPRA)</w:t>
      </w:r>
    </w:p>
    <w:p>
      <w:pPr>
        <w:spacing w:after="120"/>
      </w:pPr>
      <w:r>
        <w:rPr>
          <w:rFonts w:ascii="Arial" w:hAnsi="Arial"/>
          <w:b w:val="0"/>
          <w:i w:val="0"/>
          <w:sz w:val="22"/>
        </w:rPr>
        <w:t>In the past 12 months we have collected the categories of personal information described in Section 2, including identifiers, customer records, commercial information, internet/network activity information, geolocation (approximate), professional or employment-related information, and inferences drawn from the foregoing. We do not knowingly collect sensitive personal information beyond what is necessary to operate the Service (such as government identifiers required for Partner identity verification and for tax reporting).</w:t>
      </w:r>
    </w:p>
    <w:p>
      <w:pPr>
        <w:keepNext/>
        <w:spacing w:before="240" w:after="80"/>
      </w:pPr>
      <w:r>
        <w:rPr>
          <w:rFonts w:ascii="Arial" w:hAnsi="Arial"/>
          <w:b/>
          <w:sz w:val="24"/>
        </w:rPr>
        <w:t>9.2 Sale / Sharing</w:t>
      </w:r>
    </w:p>
    <w:p>
      <w:pPr>
        <w:spacing w:after="120"/>
      </w:pPr>
      <w:r>
        <w:rPr>
          <w:rFonts w:ascii="Arial" w:hAnsi="Arial"/>
          <w:b w:val="0"/>
          <w:i w:val="0"/>
          <w:sz w:val="22"/>
        </w:rPr>
        <w:t>We do not "sell" personal information in exchange for monetary consideration. We do not "share" personal information for cross-context behavioral advertising as those terms are defined under CCPA/CPRA. We honor Global Privacy Control signals where applicable.</w:t>
      </w:r>
    </w:p>
    <w:p>
      <w:pPr>
        <w:keepNext/>
        <w:spacing w:before="240" w:after="80"/>
      </w:pPr>
      <w:r>
        <w:rPr>
          <w:rFonts w:ascii="Arial" w:hAnsi="Arial"/>
          <w:b/>
          <w:sz w:val="24"/>
        </w:rPr>
        <w:t>9.3 Rights and Verification</w:t>
      </w:r>
    </w:p>
    <w:p>
      <w:pPr>
        <w:spacing w:after="120"/>
      </w:pPr>
      <w:r>
        <w:rPr>
          <w:rFonts w:ascii="Arial" w:hAnsi="Arial"/>
          <w:b w:val="0"/>
          <w:i w:val="0"/>
          <w:sz w:val="22"/>
        </w:rPr>
        <w:t>California residents may request to know, delete, correct, and limit use of sensitive personal information. Requests can be submitted to [Privacy Contact Email]. We verify requests using [State Privacy Verification Method]. You may authorize an agent to act on your behalf with appropriate documentation. We do not discriminate against you for exercising these rights.</w:t>
      </w:r>
    </w:p>
    <w:p>
      <w:pPr>
        <w:spacing w:after="120"/>
      </w:pPr>
      <w:r>
        <w:rPr>
          <w:rFonts w:ascii="Arial" w:hAnsi="Arial"/>
          <w:b w:val="0"/>
          <w:i w:val="0"/>
          <w:sz w:val="22"/>
        </w:rPr>
        <w:t>[LAWYER REVIEW: confirm state-by-state disclosure obligations and whether the Service triggers thresholds for each state privacy law; B2B-only data may benefit from B2B exemptions in certain states, but those are narrow and time-limited.]</w:t>
      </w:r>
    </w:p>
    <w:p>
      <w:pPr>
        <w:keepNext/>
        <w:spacing w:before="360" w:after="120"/>
      </w:pPr>
      <w:r>
        <w:rPr>
          <w:rFonts w:ascii="Arial" w:hAnsi="Arial"/>
          <w:b/>
          <w:sz w:val="30"/>
        </w:rPr>
        <w:t>10. International Users and Transfers</w:t>
      </w:r>
    </w:p>
    <w:p>
      <w:pPr>
        <w:spacing w:after="120"/>
      </w:pPr>
      <w:r>
        <w:rPr>
          <w:rFonts w:ascii="Arial" w:hAnsi="Arial"/>
          <w:b w:val="0"/>
          <w:i w:val="0"/>
          <w:sz w:val="22"/>
        </w:rPr>
        <w:t>iLaunchify is headquartered in the United States. In V1, the Service is offered to Users located in the United States; Creators and Partners outside the United States are not actively onboarded. As we expand to additional markets, we will update this Section and may rely on the EU/UK Standard Contractual Clauses, the UK International Data Transfer Addendum, or other transfer mechanisms as appropriate.</w:t>
      </w:r>
    </w:p>
    <w:p>
      <w:pPr>
        <w:spacing w:after="120"/>
      </w:pPr>
      <w:r>
        <w:rPr>
          <w:rFonts w:ascii="Arial" w:hAnsi="Arial"/>
          <w:b w:val="0"/>
          <w:i w:val="0"/>
          <w:sz w:val="22"/>
        </w:rPr>
        <w:t>EU/UK forward pointer: When the Service becomes available in the EU/UK, additional disclosures and a data protection contact (or representative under Article 27 GDPR / UK GDPR) will apply. Canada: As we expand into Canada (V1.5+), PIPEDA-specific disclosures will apply.</w:t>
      </w:r>
    </w:p>
    <w:p>
      <w:pPr>
        <w:keepNext/>
        <w:spacing w:before="360" w:after="120"/>
      </w:pPr>
      <w:r>
        <w:rPr>
          <w:rFonts w:ascii="Arial" w:hAnsi="Arial"/>
          <w:b/>
          <w:sz w:val="30"/>
        </w:rPr>
        <w:t>11. Security</w:t>
      </w:r>
    </w:p>
    <w:p>
      <w:pPr>
        <w:spacing w:after="120"/>
      </w:pPr>
      <w:r>
        <w:rPr>
          <w:rFonts w:ascii="Arial" w:hAnsi="Arial"/>
          <w:b w:val="0"/>
          <w:i w:val="0"/>
          <w:sz w:val="22"/>
        </w:rPr>
        <w:t>We use technical and organizational measures designed to protect personal information, including encryption in transit (TLS) and at rest, role-based access controls, internal audit logging, principle of least privilege for staff access, and vendor due diligence. No method of transmission or storage is completely secure. You are responsible for safeguarding your account credentials and for promptly notifying us of any suspected unauthorized access.</w:t>
      </w:r>
    </w:p>
    <w:p>
      <w:pPr>
        <w:keepNext/>
        <w:spacing w:before="360" w:after="120"/>
      </w:pPr>
      <w:r>
        <w:rPr>
          <w:rFonts w:ascii="Arial" w:hAnsi="Arial"/>
          <w:b/>
          <w:sz w:val="30"/>
        </w:rPr>
        <w:t>12. Breach Notification</w:t>
      </w:r>
    </w:p>
    <w:p>
      <w:pPr>
        <w:spacing w:after="120"/>
      </w:pPr>
      <w:r>
        <w:rPr>
          <w:rFonts w:ascii="Arial" w:hAnsi="Arial"/>
          <w:b w:val="0"/>
          <w:i w:val="0"/>
          <w:sz w:val="22"/>
        </w:rPr>
        <w:t>In the event of a personal data breach that triggers notification obligations, iLaunchify will notify affected Users and applicable regulators within [Breach Notification Window] or such other window as required by applicable law. Notifications will describe (a) the nature of the breach, (b) the categories of personal information affected, (c) the likely consequences, and (d) the measures taken or proposed to address the breach.</w:t>
      </w:r>
    </w:p>
    <w:p>
      <w:pPr>
        <w:spacing w:after="120"/>
      </w:pPr>
      <w:r>
        <w:rPr>
          <w:rFonts w:ascii="Arial" w:hAnsi="Arial"/>
          <w:b w:val="0"/>
          <w:i w:val="0"/>
          <w:sz w:val="22"/>
        </w:rPr>
        <w:t>[LAWYER REVIEW: confirm state and international breach notification windows applicable to iLaunchify's User base and any sector-specific obligations.]</w:t>
      </w:r>
    </w:p>
    <w:p>
      <w:pPr>
        <w:keepNext/>
        <w:spacing w:before="360" w:after="120"/>
      </w:pPr>
      <w:r>
        <w:rPr>
          <w:rFonts w:ascii="Arial" w:hAnsi="Arial"/>
          <w:b/>
          <w:sz w:val="30"/>
        </w:rPr>
        <w:t>13. Children</w:t>
      </w:r>
    </w:p>
    <w:p>
      <w:pPr>
        <w:spacing w:after="120"/>
      </w:pPr>
      <w:r>
        <w:rPr>
          <w:rFonts w:ascii="Arial" w:hAnsi="Arial"/>
          <w:b w:val="0"/>
          <w:i w:val="0"/>
          <w:sz w:val="22"/>
        </w:rPr>
        <w:t>The Service is not directed to children under 18. We do not knowingly collect personal information from children. If you believe a child has provided personal information to us, please contact [Privacy Contact Email] and we will take appropriate steps to delete it.</w:t>
      </w:r>
    </w:p>
    <w:p>
      <w:pPr>
        <w:keepNext/>
        <w:spacing w:before="360" w:after="120"/>
      </w:pPr>
      <w:r>
        <w:rPr>
          <w:rFonts w:ascii="Arial" w:hAnsi="Arial"/>
          <w:b/>
          <w:sz w:val="30"/>
        </w:rPr>
        <w:t>14. Changes to This Policy</w:t>
      </w:r>
    </w:p>
    <w:p>
      <w:pPr>
        <w:spacing w:after="120"/>
      </w:pPr>
      <w:r>
        <w:rPr>
          <w:rFonts w:ascii="Arial" w:hAnsi="Arial"/>
          <w:b w:val="0"/>
          <w:i w:val="0"/>
          <w:sz w:val="22"/>
        </w:rPr>
        <w:t>We may update this Policy from time to time. We will post the updated Policy with a new "Effective Date" and, if changes are material, we will provide additional notice (e.g., by email or in-app banner). Your continued use of the Service after the Effective Date constitutes acceptance of the updated Policy.</w:t>
      </w:r>
    </w:p>
    <w:p>
      <w:pPr>
        <w:keepNext/>
        <w:spacing w:before="360" w:after="120"/>
      </w:pPr>
      <w:r>
        <w:rPr>
          <w:rFonts w:ascii="Arial" w:hAnsi="Arial"/>
          <w:b/>
          <w:sz w:val="30"/>
        </w:rPr>
        <w:t>15. Contact Us</w:t>
      </w:r>
    </w:p>
    <w:p>
      <w:pPr>
        <w:spacing w:after="120"/>
      </w:pPr>
      <w:r>
        <w:rPr>
          <w:rFonts w:ascii="Arial" w:hAnsi="Arial"/>
          <w:b w:val="0"/>
          <w:i w:val="0"/>
          <w:sz w:val="22"/>
        </w:rPr>
        <w:t>If you have questions or requests regarding this Policy or our privacy practices, please contact:</w:t>
      </w:r>
    </w:p>
    <w:p>
      <w:pPr>
        <w:pStyle w:val="ListBullet"/>
      </w:pPr>
      <w:r>
        <w:rPr>
          <w:rFonts w:ascii="Arial" w:hAnsi="Arial"/>
          <w:sz w:val="22"/>
        </w:rPr>
        <w:t>[Legal Entity Name], [Registered Address]</w:t>
      </w:r>
    </w:p>
    <w:p>
      <w:pPr>
        <w:pStyle w:val="ListBullet"/>
      </w:pPr>
      <w:r>
        <w:rPr>
          <w:rFonts w:ascii="Arial" w:hAnsi="Arial"/>
          <w:sz w:val="22"/>
        </w:rPr>
        <w:t>Email: [Privacy Contact Email]</w:t>
      </w:r>
    </w:p>
    <w:p>
      <w:pPr>
        <w:pStyle w:val="ListBullet"/>
      </w:pPr>
      <w:r>
        <w:rPr>
          <w:rFonts w:ascii="Arial" w:hAnsi="Arial"/>
          <w:sz w:val="22"/>
        </w:rPr>
        <w:t>Data Protection Officer (if applicable): [DPO Name]</w:t>
      </w:r>
    </w:p>
    <w:p>
      <w:pPr>
        <w:pStyle w:val="ListBullet"/>
      </w:pPr>
      <w:r>
        <w:rPr>
          <w:rFonts w:ascii="Arial" w:hAnsi="Arial"/>
          <w:sz w:val="22"/>
        </w:rPr>
        <w:t>EU Representative (if applicable): [EU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