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4"/>
          <w:szCs w:val="24"/>
        </w:rPr>
        <w:t xml:space="preserve">Project Design Phase</w:t>
      </w:r>
    </w:p>
    <w:p>
      <w:pPr>
        <w:spacing w:after="160"/>
      </w:pPr>
      <w:r>
        <w:rPr>
          <w:b/>
          <w:bCs/>
          <w:sz w:val="28"/>
          <w:szCs w:val="28"/>
        </w:rPr>
        <w:t xml:space="preserve">Proposed Solution Template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6000"/>
      </w:tblGrid>
      <w:tr>
        <w:tc>
          <w:tcPr>
            <w:tcW w:type="dxa" w:w="3000"/>
            <w:shd w:fill="EFEFEF" w:val="clear"/>
          </w:tcPr>
          <w:p>
            <w:pPr>
              <w:spacing w:after="60" w:before="60"/>
              <w:ind w:left="80" w:right="80"/>
            </w:pPr>
            <w:r>
              <w:rPr>
                <w:b/>
                <w:bCs/>
                <w:color w:val="000000"/>
                <w:sz w:val="20"/>
                <w:szCs w:val="20"/>
              </w:rPr>
              <w:t xml:space="preserve">Date</w:t>
            </w:r>
          </w:p>
        </w:tc>
        <w:tc>
          <w:tcPr>
            <w:tcW w:type="dxa" w:w="6000"/>
            <w:shd w:fill="EFEFEF" w:val="clear"/>
          </w:tcPr>
          <w:p>
            <w:pPr>
              <w:spacing w:after="60" w:before="60"/>
              <w:ind w:left="80" w:right="80"/>
            </w:pPr>
            <w:r>
              <w:rPr>
                <w:b/>
                <w:bCs/>
                <w:color w:val="000000"/>
                <w:sz w:val="20"/>
                <w:szCs w:val="20"/>
              </w:rPr>
              <w:t xml:space="preserve">11 July 2026</w:t>
            </w:r>
          </w:p>
        </w:tc>
      </w:tr>
      <w:tr>
        <w:tc>
          <w:tcPr>
            <w:tcW w:type="dxa" w:w="3000"/>
            <w:shd w:fill="FFFFFF" w:val="clear"/>
          </w:tcPr>
          <w:p>
            <w:pPr>
              <w:spacing w:after="60" w:before="60"/>
              <w:ind w:left="80" w:right="80"/>
            </w:pPr>
            <w:r>
              <w:rPr>
                <w:b w:val="false"/>
                <w:bCs w:val="false"/>
                <w:color w:val="000000"/>
                <w:sz w:val="20"/>
                <w:szCs w:val="20"/>
              </w:rPr>
              <w:t xml:space="preserve">Team ID</w:t>
            </w:r>
          </w:p>
        </w:tc>
        <w:tc>
          <w:tcPr>
            <w:tcW w:type="dxa" w:w="6000"/>
            <w:shd w:fill="FFFFFF" w:val="clear"/>
          </w:tcPr>
          <w:p>
            <w:pPr>
              <w:spacing w:after="60" w:before="60"/>
              <w:ind w:left="80" w:right="80"/>
            </w:pPr>
            <w:r>
              <w:rPr>
                <w:b w:val="false"/>
                <w:bCs w:val="false"/>
                <w:color w:val="000000"/>
                <w:sz w:val="20"/>
                <w:szCs w:val="20"/>
              </w:rPr>
              <w:t xml:space="preserve">MERN-NA-2026</w:t>
            </w:r>
          </w:p>
        </w:tc>
      </w:tr>
      <w:tr>
        <w:tc>
          <w:tcPr>
            <w:tcW w:type="dxa" w:w="3000"/>
            <w:shd w:fill="FFFFFF" w:val="clear"/>
          </w:tcPr>
          <w:p>
            <w:pPr>
              <w:spacing w:after="60" w:before="60"/>
              <w:ind w:left="80" w:right="80"/>
            </w:pPr>
            <w:r>
              <w:rPr>
                <w:b w:val="false"/>
                <w:bCs w:val="false"/>
                <w:color w:val="000000"/>
                <w:sz w:val="20"/>
                <w:szCs w:val="20"/>
              </w:rPr>
              <w:t xml:space="preserve">Project Name</w:t>
            </w:r>
          </w:p>
        </w:tc>
        <w:tc>
          <w:tcPr>
            <w:tcW w:type="dxa" w:w="6000"/>
            <w:shd w:fill="FFFFFF" w:val="clear"/>
          </w:tcPr>
          <w:p>
            <w:pPr>
              <w:spacing w:after="60" w:before="60"/>
              <w:ind w:left="80" w:right="80"/>
            </w:pPr>
            <w:r>
              <w:rPr>
                <w:b w:val="false"/>
                <w:bCs w:val="false"/>
                <w:color w:val="000000"/>
                <w:sz w:val="20"/>
                <w:szCs w:val="20"/>
              </w:rPr>
              <w:t xml:space="preserve">Nutrition Assistant</w:t>
            </w:r>
          </w:p>
        </w:tc>
      </w:tr>
      <w:tr>
        <w:tc>
          <w:tcPr>
            <w:tcW w:type="dxa" w:w="3000"/>
            <w:shd w:fill="FFFFFF" w:val="clear"/>
          </w:tcPr>
          <w:p>
            <w:pPr>
              <w:spacing w:after="60" w:before="60"/>
              <w:ind w:left="80" w:right="80"/>
            </w:pPr>
            <w:r>
              <w:rPr>
                <w:b w:val="false"/>
                <w:bCs w:val="false"/>
                <w:color w:val="000000"/>
                <w:sz w:val="20"/>
                <w:szCs w:val="20"/>
              </w:rPr>
              <w:t xml:space="preserve">Maximum Marks</w:t>
            </w:r>
          </w:p>
        </w:tc>
        <w:tc>
          <w:tcPr>
            <w:tcW w:type="dxa" w:w="6000"/>
            <w:shd w:fill="FFFFFF" w:val="clear"/>
          </w:tcPr>
          <w:p>
            <w:pPr>
              <w:spacing w:after="60" w:before="60"/>
              <w:ind w:left="80" w:right="80"/>
            </w:pPr>
            <w:r>
              <w:rPr>
                <w:b w:val="false"/>
                <w:bCs w:val="false"/>
                <w:color w:val="000000"/>
                <w:sz w:val="20"/>
                <w:szCs w:val="20"/>
              </w:rPr>
              <w:t xml:space="preserve">2 Marks</w:t>
            </w:r>
          </w:p>
        </w:tc>
      </w:tr>
    </w:tbl>
    <w:p>
      <w:pPr>
        <w:spacing w:after="80" w:before="80"/>
      </w:pPr>
    </w:p>
    <w:p>
      <w:pPr>
        <w:pBdr>
          <w:bottom w:val="single" w:color="000000" w:sz="4" w:space="4"/>
        </w:pBdr>
        <w:spacing w:after="120" w:before="240"/>
      </w:pPr>
      <w:r>
        <w:rPr>
          <w:b/>
          <w:bCs/>
          <w:sz w:val="28"/>
          <w:szCs w:val="28"/>
        </w:rPr>
        <w:t xml:space="preserve">Proposed Solution</w:t>
      </w:r>
    </w:p>
    <w:p>
      <w:pPr>
        <w:spacing w:after="80" w:before="8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400"/>
        <w:gridCol w:w="6000"/>
      </w:tblGrid>
      <w:tr>
        <w:tc>
          <w:tcPr>
            <w:tcW w:type="dxa" w:w="600"/>
            <w:shd w:fill="EFEFEF" w:val="clear"/>
          </w:tcPr>
          <w:p>
            <w:pPr>
              <w:spacing w:after="60" w:before="60"/>
              <w:ind w:left="80" w:right="80"/>
            </w:pPr>
            <w:r>
              <w:rPr>
                <w:b/>
                <w:bCs/>
                <w:color w:val="000000"/>
                <w:sz w:val="20"/>
                <w:szCs w:val="20"/>
              </w:rPr>
              <w:t xml:space="preserve">S.No.</w:t>
            </w:r>
          </w:p>
        </w:tc>
        <w:tc>
          <w:tcPr>
            <w:tcW w:type="dxa" w:w="2400"/>
            <w:shd w:fill="EFEFEF" w:val="clear"/>
          </w:tcPr>
          <w:p>
            <w:pPr>
              <w:spacing w:after="60" w:before="60"/>
              <w:ind w:left="80" w:right="80"/>
            </w:pPr>
            <w:r>
              <w:rPr>
                <w:b/>
                <w:bCs/>
                <w:color w:val="000000"/>
                <w:sz w:val="20"/>
                <w:szCs w:val="20"/>
              </w:rPr>
              <w:t xml:space="preserve">Parameter</w:t>
            </w:r>
          </w:p>
        </w:tc>
        <w:tc>
          <w:tcPr>
            <w:tcW w:type="dxa" w:w="6000"/>
            <w:shd w:fill="EFEFEF" w:val="clear"/>
          </w:tcPr>
          <w:p>
            <w:pPr>
              <w:spacing w:after="60" w:before="60"/>
              <w:ind w:left="80" w:right="80"/>
            </w:pPr>
            <w:r>
              <w:rPr>
                <w:b/>
                <w:bCs/>
                <w:color w:val="000000"/>
                <w:sz w:val="20"/>
                <w:szCs w:val="20"/>
              </w:rPr>
              <w:t xml:space="preserve">Description</w:t>
            </w:r>
          </w:p>
        </w:tc>
      </w:tr>
      <w:tr>
        <w:tc>
          <w:tcPr>
            <w:tcW w:type="dxa" w:w="600"/>
            <w:shd w:fill="FFFFFF" w:val="clear"/>
          </w:tcPr>
          <w:p>
            <w:pPr>
              <w:spacing w:after="60" w:before="60"/>
              <w:ind w:left="80" w:right="80"/>
            </w:pPr>
            <w:r>
              <w:rPr>
                <w:b w:val="false"/>
                <w:bCs w:val="false"/>
                <w:color w:val="000000"/>
                <w:sz w:val="20"/>
                <w:szCs w:val="20"/>
              </w:rPr>
              <w:t xml:space="preserve">1</w:t>
            </w:r>
          </w:p>
        </w:tc>
        <w:tc>
          <w:tcPr>
            <w:tcW w:type="dxa" w:w="2400"/>
            <w:shd w:fill="FFFFFF" w:val="clear"/>
          </w:tcPr>
          <w:p>
            <w:pPr>
              <w:spacing w:after="60" w:before="60"/>
              <w:ind w:left="80" w:right="80"/>
            </w:pPr>
            <w:r>
              <w:rPr>
                <w:b w:val="false"/>
                <w:bCs w:val="false"/>
                <w:color w:val="000000"/>
                <w:sz w:val="20"/>
                <w:szCs w:val="20"/>
              </w:rPr>
              <w:t xml:space="preserve">Problem Statement (Problem to be solved)</w:t>
            </w:r>
          </w:p>
        </w:tc>
        <w:tc>
          <w:tcPr>
            <w:tcW w:type="dxa" w:w="6000"/>
            <w:shd w:fill="FFFFFF" w:val="clear"/>
          </w:tcPr>
          <w:p>
            <w:pPr>
              <w:spacing w:after="60" w:before="60"/>
              <w:ind w:left="80" w:right="80"/>
            </w:pPr>
            <w:r>
              <w:rPr>
                <w:b w:val="false"/>
                <w:bCs w:val="false"/>
                <w:color w:val="000000"/>
                <w:sz w:val="20"/>
                <w:szCs w:val="20"/>
              </w:rPr>
              <w:t xml:space="preserve">Individuals lack access to personalized, trackable nutrition guidance. Dietitians have no efficient digital system to manage client meal plans and monitor adherence. Both sides operate in silos — users follow generic advice while dietitians manage clients through manual, disconnected tools.</w:t>
            </w:r>
          </w:p>
        </w:tc>
      </w:tr>
      <w:tr>
        <w:tc>
          <w:tcPr>
            <w:tcW w:type="dxa" w:w="600"/>
            <w:shd w:fill="FFFFFF" w:val="clear"/>
          </w:tcPr>
          <w:p>
            <w:pPr>
              <w:spacing w:after="60" w:before="60"/>
              <w:ind w:left="80" w:right="80"/>
            </w:pPr>
            <w:r>
              <w:rPr>
                <w:b w:val="false"/>
                <w:bCs w:val="false"/>
                <w:color w:val="000000"/>
                <w:sz w:val="20"/>
                <w:szCs w:val="20"/>
              </w:rPr>
              <w:t xml:space="preserve">2</w:t>
            </w:r>
          </w:p>
        </w:tc>
        <w:tc>
          <w:tcPr>
            <w:tcW w:type="dxa" w:w="2400"/>
            <w:shd w:fill="FFFFFF" w:val="clear"/>
          </w:tcPr>
          <w:p>
            <w:pPr>
              <w:spacing w:after="60" w:before="60"/>
              <w:ind w:left="80" w:right="80"/>
            </w:pPr>
            <w:r>
              <w:rPr>
                <w:b w:val="false"/>
                <w:bCs w:val="false"/>
                <w:color w:val="000000"/>
                <w:sz w:val="20"/>
                <w:szCs w:val="20"/>
              </w:rPr>
              <w:t xml:space="preserve">Idea / Solution Description</w:t>
            </w:r>
          </w:p>
        </w:tc>
        <w:tc>
          <w:tcPr>
            <w:tcW w:type="dxa" w:w="6000"/>
            <w:shd w:fill="FFFFFF" w:val="clear"/>
          </w:tcPr>
          <w:p>
            <w:pPr>
              <w:spacing w:after="60" w:before="60"/>
              <w:ind w:left="80" w:right="80"/>
            </w:pPr>
            <w:r>
              <w:rPr>
                <w:b w:val="false"/>
                <w:bCs w:val="false"/>
                <w:color w:val="000000"/>
                <w:sz w:val="20"/>
                <w:szCs w:val="20"/>
              </w:rPr>
              <w:t xml:space="preserve">Nutrition Assistant is a full-stack MERN web application that digitizes the dietitian-client relationship. It provides three role-based portals: a User portal for tracking daily intake and progress, a Dietitian portal for creating and managing personalized meal plans for assigned clients, and an Admin portal for managing all users and approving dietitian accounts. All data is stored in MongoDB Atlas and secured using JWT authentication with bcrypt password hashing.</w:t>
            </w:r>
          </w:p>
        </w:tc>
      </w:tr>
      <w:tr>
        <w:tc>
          <w:tcPr>
            <w:tcW w:type="dxa" w:w="600"/>
            <w:shd w:fill="FFFFFF" w:val="clear"/>
          </w:tcPr>
          <w:p>
            <w:pPr>
              <w:spacing w:after="60" w:before="60"/>
              <w:ind w:left="80" w:right="80"/>
            </w:pPr>
            <w:r>
              <w:rPr>
                <w:b w:val="false"/>
                <w:bCs w:val="false"/>
                <w:color w:val="000000"/>
                <w:sz w:val="20"/>
                <w:szCs w:val="20"/>
              </w:rPr>
              <w:t xml:space="preserve">3</w:t>
            </w:r>
          </w:p>
        </w:tc>
        <w:tc>
          <w:tcPr>
            <w:tcW w:type="dxa" w:w="2400"/>
            <w:shd w:fill="FFFFFF" w:val="clear"/>
          </w:tcPr>
          <w:p>
            <w:pPr>
              <w:spacing w:after="60" w:before="60"/>
              <w:ind w:left="80" w:right="80"/>
            </w:pPr>
            <w:r>
              <w:rPr>
                <w:b w:val="false"/>
                <w:bCs w:val="false"/>
                <w:color w:val="000000"/>
                <w:sz w:val="20"/>
                <w:szCs w:val="20"/>
              </w:rPr>
              <w:t xml:space="preserve">Novelty / Uniqueness</w:t>
            </w:r>
          </w:p>
        </w:tc>
        <w:tc>
          <w:tcPr>
            <w:tcW w:type="dxa" w:w="6000"/>
            <w:shd w:fill="FFFFFF" w:val="clear"/>
          </w:tcPr>
          <w:p>
            <w:pPr>
              <w:spacing w:after="60" w:before="60"/>
              <w:ind w:left="80" w:right="80"/>
            </w:pPr>
            <w:r>
              <w:rPr>
                <w:b w:val="false"/>
                <w:bCs w:val="false"/>
                <w:color w:val="000000"/>
                <w:sz w:val="20"/>
                <w:szCs w:val="20"/>
              </w:rPr>
              <w:t xml:space="preserve">Unlike generic calorie counters (e.g. MyFitnessPal), Nutrition Assistant is built around the professional dietitian-client workflow. It enforces server-side role-based access control — a dietitian sees only their assigned clients, not the full database. Meal plans include per-meal macro breakdowns (protein, carbs, fat) with automatic total calculation. The admin approval workflow for dietitians ensures platform quality control. The entire system is built from scratch on the MERN stack without any third-party SaaS nutrition API.</w:t>
            </w:r>
          </w:p>
        </w:tc>
      </w:tr>
      <w:tr>
        <w:tc>
          <w:tcPr>
            <w:tcW w:type="dxa" w:w="600"/>
            <w:shd w:fill="FFFFFF" w:val="clear"/>
          </w:tcPr>
          <w:p>
            <w:pPr>
              <w:spacing w:after="60" w:before="60"/>
              <w:ind w:left="80" w:right="80"/>
            </w:pPr>
            <w:r>
              <w:rPr>
                <w:b w:val="false"/>
                <w:bCs w:val="false"/>
                <w:color w:val="000000"/>
                <w:sz w:val="20"/>
                <w:szCs w:val="20"/>
              </w:rPr>
              <w:t xml:space="preserve">4</w:t>
            </w:r>
          </w:p>
        </w:tc>
        <w:tc>
          <w:tcPr>
            <w:tcW w:type="dxa" w:w="2400"/>
            <w:shd w:fill="FFFFFF" w:val="clear"/>
          </w:tcPr>
          <w:p>
            <w:pPr>
              <w:spacing w:after="60" w:before="60"/>
              <w:ind w:left="80" w:right="80"/>
            </w:pPr>
            <w:r>
              <w:rPr>
                <w:b w:val="false"/>
                <w:bCs w:val="false"/>
                <w:color w:val="000000"/>
                <w:sz w:val="20"/>
                <w:szCs w:val="20"/>
              </w:rPr>
              <w:t xml:space="preserve">Social Impact / Customer Satisfaction</w:t>
            </w:r>
          </w:p>
        </w:tc>
        <w:tc>
          <w:tcPr>
            <w:tcW w:type="dxa" w:w="6000"/>
            <w:shd w:fill="FFFFFF" w:val="clear"/>
          </w:tcPr>
          <w:p>
            <w:pPr>
              <w:spacing w:after="60" w:before="60"/>
              <w:ind w:left="80" w:right="80"/>
            </w:pPr>
            <w:r>
              <w:rPr>
                <w:b w:val="false"/>
                <w:bCs w:val="false"/>
                <w:color w:val="000000"/>
                <w:sz w:val="20"/>
                <w:szCs w:val="20"/>
              </w:rPr>
              <w:t xml:space="preserve">The platform makes personalized nutrition guidance more accessible by bridging the gap between dietitians and their clients digitally. Users who previously relied on generic internet advice can now follow structured, professionally designed meal plans. Dietitians can scale their practice — serving more clients with the same effort. The adherence percentage feature gives both parties objective visibility into whether the plan is working, improving outcomes and satisfaction.</w:t>
            </w:r>
          </w:p>
        </w:tc>
      </w:tr>
      <w:tr>
        <w:tc>
          <w:tcPr>
            <w:tcW w:type="dxa" w:w="600"/>
            <w:shd w:fill="FFFFFF" w:val="clear"/>
          </w:tcPr>
          <w:p>
            <w:pPr>
              <w:spacing w:after="60" w:before="60"/>
              <w:ind w:left="80" w:right="80"/>
            </w:pPr>
            <w:r>
              <w:rPr>
                <w:b w:val="false"/>
                <w:bCs w:val="false"/>
                <w:color w:val="000000"/>
                <w:sz w:val="20"/>
                <w:szCs w:val="20"/>
              </w:rPr>
              <w:t xml:space="preserve">5</w:t>
            </w:r>
          </w:p>
        </w:tc>
        <w:tc>
          <w:tcPr>
            <w:tcW w:type="dxa" w:w="2400"/>
            <w:shd w:fill="FFFFFF" w:val="clear"/>
          </w:tcPr>
          <w:p>
            <w:pPr>
              <w:spacing w:after="60" w:before="60"/>
              <w:ind w:left="80" w:right="80"/>
            </w:pPr>
            <w:r>
              <w:rPr>
                <w:b w:val="false"/>
                <w:bCs w:val="false"/>
                <w:color w:val="000000"/>
                <w:sz w:val="20"/>
                <w:szCs w:val="20"/>
              </w:rPr>
              <w:t xml:space="preserve">Business Model (Revenue Model)</w:t>
            </w:r>
          </w:p>
        </w:tc>
        <w:tc>
          <w:tcPr>
            <w:tcW w:type="dxa" w:w="6000"/>
            <w:shd w:fill="FFFFFF" w:val="clear"/>
          </w:tcPr>
          <w:p>
            <w:pPr>
              <w:spacing w:after="60" w:before="60"/>
              <w:ind w:left="80" w:right="80"/>
            </w:pPr>
            <w:r>
              <w:rPr>
                <w:b w:val="false"/>
                <w:bCs w:val="false"/>
                <w:color w:val="000000"/>
                <w:sz w:val="20"/>
                <w:szCs w:val="20"/>
              </w:rPr>
              <w:t xml:space="preserve">For this project, the platform is built as a demonstration and educational system. Potential revenue models for a production version include: (1) SaaS subscription for dietitian accounts — monthly fee to manage unlimited clients; (2) Freemium for users — free basic tracking, paid tier for dietitian assignment; (3) Institutional licensing — selling the platform to hospitals, clinics, or gyms as a white-label client management tool.</w:t>
            </w:r>
          </w:p>
        </w:tc>
      </w:tr>
      <w:tr>
        <w:tc>
          <w:tcPr>
            <w:tcW w:type="dxa" w:w="600"/>
            <w:shd w:fill="FFFFFF" w:val="clear"/>
          </w:tcPr>
          <w:p>
            <w:pPr>
              <w:spacing w:after="60" w:before="60"/>
              <w:ind w:left="80" w:right="80"/>
            </w:pPr>
            <w:r>
              <w:rPr>
                <w:b w:val="false"/>
                <w:bCs w:val="false"/>
                <w:color w:val="000000"/>
                <w:sz w:val="20"/>
                <w:szCs w:val="20"/>
              </w:rPr>
              <w:t xml:space="preserve">6</w:t>
            </w:r>
          </w:p>
        </w:tc>
        <w:tc>
          <w:tcPr>
            <w:tcW w:type="dxa" w:w="2400"/>
            <w:shd w:fill="FFFFFF" w:val="clear"/>
          </w:tcPr>
          <w:p>
            <w:pPr>
              <w:spacing w:after="60" w:before="60"/>
              <w:ind w:left="80" w:right="80"/>
            </w:pPr>
            <w:r>
              <w:rPr>
                <w:b w:val="false"/>
                <w:bCs w:val="false"/>
                <w:color w:val="000000"/>
                <w:sz w:val="20"/>
                <w:szCs w:val="20"/>
              </w:rPr>
              <w:t xml:space="preserve">Scalability of the Solution</w:t>
            </w:r>
          </w:p>
        </w:tc>
        <w:tc>
          <w:tcPr>
            <w:tcW w:type="dxa" w:w="6000"/>
            <w:shd w:fill="FFFFFF" w:val="clear"/>
          </w:tcPr>
          <w:p>
            <w:pPr>
              <w:spacing w:after="60" w:before="60"/>
              <w:ind w:left="80" w:right="80"/>
            </w:pPr>
            <w:r>
              <w:rPr>
                <w:b w:val="false"/>
                <w:bCs w:val="false"/>
                <w:color w:val="000000"/>
                <w:sz w:val="20"/>
                <w:szCs w:val="20"/>
              </w:rPr>
              <w:t xml:space="preserve">The application is built on MongoDB Atlas (cloud-native, auto-scalable NoSQL database), a stateless Express.js API (horizontally scalable), and a React frontend deployable on any static hosting or CDN. The role-based architecture means new roles or modules (e.g. nurse, fitness trainer) can be added by extending the existing middleware without restructuring the core. The platform can be containerized with Docker and deployed on AWS/GCP/Azure for production-grade scaling.</w:t>
            </w:r>
          </w:p>
        </w:tc>
      </w:tr>
    </w:tbl>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2026-07-11T16:49:39.740Z</dcterms:created>
  <dcterms:modified xsi:type="dcterms:W3CDTF">2026-07-11T16:49:39.740Z</dcterms:modified>
</cp:coreProperties>
</file>

<file path=docProps/custom.xml><?xml version="1.0" encoding="utf-8"?>
<Properties xmlns="http://schemas.openxmlformats.org/officeDocument/2006/custom-properties" xmlns:vt="http://schemas.openxmlformats.org/officeDocument/2006/docPropsVTypes"/>
</file>