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4"/>
          <w:szCs w:val="24"/>
        </w:rPr>
        <w:t xml:space="preserve">Project Design Phase-II</w:t>
      </w:r>
    </w:p>
    <w:p>
      <w:pPr>
        <w:spacing w:after="160"/>
      </w:pPr>
      <w:r>
        <w:rPr>
          <w:b/>
          <w:bCs/>
          <w:sz w:val="28"/>
          <w:szCs w:val="28"/>
        </w:rPr>
        <w:t xml:space="preserve">Solution Requirements (Functional &amp; Non-functional)</w:t>
      </w: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000"/>
      </w:tblGrid>
      <w:tr>
        <w:tc>
          <w:tcPr>
            <w:tcW w:type="dxa" w:w="3000"/>
            <w:shd w:fill="EFEFEF" w:val="clear"/>
          </w:tcPr>
          <w:p>
            <w:pPr>
              <w:spacing w:after="60" w:before="60"/>
              <w:ind w:left="80" w:right="80"/>
            </w:pPr>
            <w:r>
              <w:rPr>
                <w:b/>
                <w:bCs/>
                <w:color w:val="000000"/>
                <w:sz w:val="20"/>
                <w:szCs w:val="20"/>
              </w:rPr>
              <w:t xml:space="preserve">Date</w:t>
            </w:r>
          </w:p>
        </w:tc>
        <w:tc>
          <w:tcPr>
            <w:tcW w:type="dxa" w:w="6000"/>
            <w:shd w:fill="EFEFEF" w:val="clear"/>
          </w:tcPr>
          <w:p>
            <w:pPr>
              <w:spacing w:after="60" w:before="60"/>
              <w:ind w:left="80" w:right="80"/>
            </w:pPr>
            <w:r>
              <w:rPr>
                <w:b/>
                <w:bCs/>
                <w:color w:val="000000"/>
                <w:sz w:val="20"/>
                <w:szCs w:val="20"/>
              </w:rPr>
              <w:t xml:space="preserve">11 July 2026</w:t>
            </w:r>
          </w:p>
        </w:tc>
      </w:tr>
      <w:tr>
        <w:tc>
          <w:tcPr>
            <w:tcW w:type="dxa" w:w="3000"/>
            <w:shd w:fill="FFFFFF" w:val="clear"/>
          </w:tcPr>
          <w:p>
            <w:pPr>
              <w:spacing w:after="60" w:before="60"/>
              <w:ind w:left="80" w:right="80"/>
            </w:pPr>
            <w:r>
              <w:rPr>
                <w:b w:val="false"/>
                <w:bCs w:val="false"/>
                <w:color w:val="000000"/>
                <w:sz w:val="20"/>
                <w:szCs w:val="20"/>
              </w:rPr>
              <w:t xml:space="preserve">Team ID</w:t>
            </w:r>
          </w:p>
        </w:tc>
        <w:tc>
          <w:tcPr>
            <w:tcW w:type="dxa" w:w="6000"/>
            <w:shd w:fill="FFFFFF" w:val="clear"/>
          </w:tcPr>
          <w:p>
            <w:pPr>
              <w:spacing w:after="60" w:before="60"/>
              <w:ind w:left="80" w:right="80"/>
            </w:pPr>
            <w:r>
              <w:rPr>
                <w:b w:val="false"/>
                <w:bCs w:val="false"/>
                <w:color w:val="000000"/>
                <w:sz w:val="20"/>
                <w:szCs w:val="20"/>
              </w:rPr>
              <w:t xml:space="preserve">MERN-NA-2026</w:t>
            </w:r>
          </w:p>
        </w:tc>
      </w:tr>
      <w:tr>
        <w:tc>
          <w:tcPr>
            <w:tcW w:type="dxa" w:w="3000"/>
            <w:shd w:fill="FFFFFF" w:val="clear"/>
          </w:tcPr>
          <w:p>
            <w:pPr>
              <w:spacing w:after="60" w:before="60"/>
              <w:ind w:left="80" w:right="80"/>
            </w:pPr>
            <w:r>
              <w:rPr>
                <w:b w:val="false"/>
                <w:bCs w:val="false"/>
                <w:color w:val="000000"/>
                <w:sz w:val="20"/>
                <w:szCs w:val="20"/>
              </w:rPr>
              <w:t xml:space="preserve">Project Name</w:t>
            </w:r>
          </w:p>
        </w:tc>
        <w:tc>
          <w:tcPr>
            <w:tcW w:type="dxa" w:w="6000"/>
            <w:shd w:fill="FFFFFF" w:val="clear"/>
          </w:tcPr>
          <w:p>
            <w:pPr>
              <w:spacing w:after="60" w:before="60"/>
              <w:ind w:left="80" w:right="80"/>
            </w:pPr>
            <w:r>
              <w:rPr>
                <w:b w:val="false"/>
                <w:bCs w:val="false"/>
                <w:color w:val="000000"/>
                <w:sz w:val="20"/>
                <w:szCs w:val="20"/>
              </w:rPr>
              <w:t xml:space="preserve">Nutrition Assistant</w:t>
            </w:r>
          </w:p>
        </w:tc>
      </w:tr>
      <w:tr>
        <w:tc>
          <w:tcPr>
            <w:tcW w:type="dxa" w:w="3000"/>
            <w:shd w:fill="FFFFFF" w:val="clear"/>
          </w:tcPr>
          <w:p>
            <w:pPr>
              <w:spacing w:after="60" w:before="60"/>
              <w:ind w:left="80" w:right="80"/>
            </w:pPr>
            <w:r>
              <w:rPr>
                <w:b w:val="false"/>
                <w:bCs w:val="false"/>
                <w:color w:val="000000"/>
                <w:sz w:val="20"/>
                <w:szCs w:val="20"/>
              </w:rPr>
              <w:t xml:space="preserve">Maximum Marks</w:t>
            </w:r>
          </w:p>
        </w:tc>
        <w:tc>
          <w:tcPr>
            <w:tcW w:type="dxa" w:w="6000"/>
            <w:shd w:fill="FFFFFF" w:val="clear"/>
          </w:tcPr>
          <w:p>
            <w:pPr>
              <w:spacing w:after="60" w:before="60"/>
              <w:ind w:left="80" w:right="80"/>
            </w:pPr>
            <w:r>
              <w:rPr>
                <w:b w:val="false"/>
                <w:bCs w:val="false"/>
                <w:color w:val="000000"/>
                <w:sz w:val="20"/>
                <w:szCs w:val="20"/>
              </w:rPr>
              <w:t xml:space="preserve">4 Marks</w:t>
            </w:r>
          </w:p>
        </w:tc>
      </w:tr>
    </w:tbl>
    <w:p>
      <w:pPr>
        <w:spacing w:after="80" w:before="80"/>
      </w:pPr>
    </w:p>
    <w:p>
      <w:pPr>
        <w:pBdr>
          <w:bottom w:val="single" w:color="000000" w:sz="4" w:space="4"/>
        </w:pBdr>
        <w:spacing w:after="120" w:before="240"/>
      </w:pPr>
      <w:r>
        <w:rPr>
          <w:b/>
          <w:bCs/>
          <w:sz w:val="28"/>
          <w:szCs w:val="28"/>
        </w:rPr>
        <w:t xml:space="preserve">Functional Requirements</w:t>
      </w:r>
    </w:p>
    <w:p>
      <w:pPr>
        <w:spacing w:after="80" w:before="8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2400"/>
        <w:gridCol w:w="5700"/>
      </w:tblGrid>
      <w:tr>
        <w:tc>
          <w:tcPr>
            <w:tcW w:type="dxa" w:w="900"/>
            <w:shd w:fill="EFEFEF" w:val="clear"/>
          </w:tcPr>
          <w:p>
            <w:pPr>
              <w:spacing w:after="60" w:before="60"/>
              <w:ind w:left="80" w:right="80"/>
            </w:pPr>
            <w:r>
              <w:rPr>
                <w:b/>
                <w:bCs/>
                <w:color w:val="000000"/>
                <w:sz w:val="20"/>
                <w:szCs w:val="20"/>
              </w:rPr>
              <w:t xml:space="preserve">FR No.</w:t>
            </w:r>
          </w:p>
        </w:tc>
        <w:tc>
          <w:tcPr>
            <w:tcW w:type="dxa" w:w="2400"/>
            <w:shd w:fill="EFEFEF" w:val="clear"/>
          </w:tcPr>
          <w:p>
            <w:pPr>
              <w:spacing w:after="60" w:before="60"/>
              <w:ind w:left="80" w:right="80"/>
            </w:pPr>
            <w:r>
              <w:rPr>
                <w:b/>
                <w:bCs/>
                <w:color w:val="000000"/>
                <w:sz w:val="20"/>
                <w:szCs w:val="20"/>
              </w:rPr>
              <w:t xml:space="preserve">Functional Requirement (Epic)</w:t>
            </w:r>
          </w:p>
        </w:tc>
        <w:tc>
          <w:tcPr>
            <w:tcW w:type="dxa" w:w="5700"/>
            <w:shd w:fill="EFEFEF" w:val="clear"/>
          </w:tcPr>
          <w:p>
            <w:pPr>
              <w:spacing w:after="60" w:before="60"/>
              <w:ind w:left="80" w:right="80"/>
            </w:pPr>
            <w:r>
              <w:rPr>
                <w:b/>
                <w:bCs/>
                <w:color w:val="000000"/>
                <w:sz w:val="20"/>
                <w:szCs w:val="20"/>
              </w:rPr>
              <w:t xml:space="preserve">Sub Requirement (Story / Sub-Task)</w:t>
            </w:r>
          </w:p>
        </w:tc>
      </w:tr>
      <w:tr>
        <w:tc>
          <w:tcPr>
            <w:tcW w:type="dxa" w:w="900"/>
            <w:shd w:fill="FFFFFF" w:val="clear"/>
          </w:tcPr>
          <w:p>
            <w:pPr>
              <w:spacing w:after="60" w:before="60"/>
              <w:ind w:left="80" w:right="80"/>
            </w:pPr>
            <w:r>
              <w:rPr>
                <w:b w:val="false"/>
                <w:bCs w:val="false"/>
                <w:color w:val="000000"/>
                <w:sz w:val="20"/>
                <w:szCs w:val="20"/>
              </w:rPr>
              <w:t xml:space="preserve">FR-1</w:t>
            </w:r>
          </w:p>
        </w:tc>
        <w:tc>
          <w:tcPr>
            <w:tcW w:type="dxa" w:w="2400"/>
            <w:shd w:fill="FFFFFF" w:val="clear"/>
          </w:tcPr>
          <w:p>
            <w:pPr>
              <w:spacing w:after="60" w:before="60"/>
              <w:ind w:left="80" w:right="80"/>
            </w:pPr>
            <w:r>
              <w:rPr>
                <w:b w:val="false"/>
                <w:bCs w:val="false"/>
                <w:color w:val="000000"/>
                <w:sz w:val="20"/>
                <w:szCs w:val="20"/>
              </w:rPr>
              <w:t xml:space="preserve">User Registration &amp; Login</w:t>
            </w:r>
          </w:p>
        </w:tc>
        <w:tc>
          <w:tcPr>
            <w:tcW w:type="dxa" w:w="5700"/>
            <w:shd w:fill="FFFFFF" w:val="clear"/>
          </w:tcPr>
          <w:p>
            <w:pPr>
              <w:spacing w:after="60" w:before="60"/>
              <w:ind w:left="80" w:right="80"/>
            </w:pPr>
            <w:r>
              <w:rPr>
                <w:b w:val="false"/>
                <w:bCs w:val="false"/>
                <w:color w:val="000000"/>
                <w:sz w:val="20"/>
                <w:szCs w:val="20"/>
              </w:rPr>
              <w:t xml:space="preserve">Registration via email, name, password and role selection
JWT token issued on successful login
Password hashed using bcrypt before storage
bcrypt.compare() used for login verification</w:t>
            </w:r>
          </w:p>
        </w:tc>
      </w:tr>
      <w:tr>
        <w:tc>
          <w:tcPr>
            <w:tcW w:type="dxa" w:w="900"/>
            <w:shd w:fill="FFFFFF" w:val="clear"/>
          </w:tcPr>
          <w:p>
            <w:pPr>
              <w:spacing w:after="60" w:before="60"/>
              <w:ind w:left="80" w:right="80"/>
            </w:pPr>
            <w:r>
              <w:rPr>
                <w:b w:val="false"/>
                <w:bCs w:val="false"/>
                <w:color w:val="000000"/>
                <w:sz w:val="20"/>
                <w:szCs w:val="20"/>
              </w:rPr>
              <w:t xml:space="preserve">FR-2</w:t>
            </w:r>
          </w:p>
        </w:tc>
        <w:tc>
          <w:tcPr>
            <w:tcW w:type="dxa" w:w="2400"/>
            <w:shd w:fill="FFFFFF" w:val="clear"/>
          </w:tcPr>
          <w:p>
            <w:pPr>
              <w:spacing w:after="60" w:before="60"/>
              <w:ind w:left="80" w:right="80"/>
            </w:pPr>
            <w:r>
              <w:rPr>
                <w:b w:val="false"/>
                <w:bCs w:val="false"/>
                <w:color w:val="000000"/>
                <w:sz w:val="20"/>
                <w:szCs w:val="20"/>
              </w:rPr>
              <w:t xml:space="preserve">Role-Based Access Control</w:t>
            </w:r>
          </w:p>
        </w:tc>
        <w:tc>
          <w:tcPr>
            <w:tcW w:type="dxa" w:w="5700"/>
            <w:shd w:fill="FFFFFF" w:val="clear"/>
          </w:tcPr>
          <w:p>
            <w:pPr>
              <w:spacing w:after="60" w:before="60"/>
              <w:ind w:left="80" w:right="80"/>
            </w:pPr>
            <w:r>
              <w:rPr>
                <w:b w:val="false"/>
                <w:bCs w:val="false"/>
                <w:color w:val="000000"/>
                <w:sz w:val="20"/>
                <w:szCs w:val="20"/>
              </w:rPr>
              <w:t xml:space="preserve">Three roles: user, dietitian, admin
requireAuth middleware verifies JWT on every protected route
requireRole middleware checks role and returns 403 if unauthorized
Dietitian accounts require admin approval before access</w:t>
            </w:r>
          </w:p>
        </w:tc>
      </w:tr>
      <w:tr>
        <w:tc>
          <w:tcPr>
            <w:tcW w:type="dxa" w:w="900"/>
            <w:shd w:fill="FFFFFF" w:val="clear"/>
          </w:tcPr>
          <w:p>
            <w:pPr>
              <w:spacing w:after="60" w:before="60"/>
              <w:ind w:left="80" w:right="80"/>
            </w:pPr>
            <w:r>
              <w:rPr>
                <w:b w:val="false"/>
                <w:bCs w:val="false"/>
                <w:color w:val="000000"/>
                <w:sz w:val="20"/>
                <w:szCs w:val="20"/>
              </w:rPr>
              <w:t xml:space="preserve">FR-3</w:t>
            </w:r>
          </w:p>
        </w:tc>
        <w:tc>
          <w:tcPr>
            <w:tcW w:type="dxa" w:w="2400"/>
            <w:shd w:fill="FFFFFF" w:val="clear"/>
          </w:tcPr>
          <w:p>
            <w:pPr>
              <w:spacing w:after="60" w:before="60"/>
              <w:ind w:left="80" w:right="80"/>
            </w:pPr>
            <w:r>
              <w:rPr>
                <w:b w:val="false"/>
                <w:bCs w:val="false"/>
                <w:color w:val="000000"/>
                <w:sz w:val="20"/>
                <w:szCs w:val="20"/>
              </w:rPr>
              <w:t xml:space="preserve">Client Profile Management</w:t>
            </w:r>
          </w:p>
        </w:tc>
        <w:tc>
          <w:tcPr>
            <w:tcW w:type="dxa" w:w="5700"/>
            <w:shd w:fill="FFFFFF" w:val="clear"/>
          </w:tcPr>
          <w:p>
            <w:pPr>
              <w:spacing w:after="60" w:before="60"/>
              <w:ind w:left="80" w:right="80"/>
            </w:pPr>
            <w:r>
              <w:rPr>
                <w:b w:val="false"/>
                <w:bCs w:val="false"/>
                <w:color w:val="000000"/>
                <w:sz w:val="20"/>
                <w:szCs w:val="20"/>
              </w:rPr>
              <w:t xml:space="preserve">Create client profile: age, weight, height, dietary restrictions, health conditions, goals
Assign a dietitian to a client
Edit and delete client profiles
Dietitian sees only their assigned clients (scoped query)</w:t>
            </w:r>
          </w:p>
        </w:tc>
      </w:tr>
      <w:tr>
        <w:tc>
          <w:tcPr>
            <w:tcW w:type="dxa" w:w="900"/>
            <w:shd w:fill="FFFFFF" w:val="clear"/>
          </w:tcPr>
          <w:p>
            <w:pPr>
              <w:spacing w:after="60" w:before="60"/>
              <w:ind w:left="80" w:right="80"/>
            </w:pPr>
            <w:r>
              <w:rPr>
                <w:b w:val="false"/>
                <w:bCs w:val="false"/>
                <w:color w:val="000000"/>
                <w:sz w:val="20"/>
                <w:szCs w:val="20"/>
              </w:rPr>
              <w:t xml:space="preserve">FR-4</w:t>
            </w:r>
          </w:p>
        </w:tc>
        <w:tc>
          <w:tcPr>
            <w:tcW w:type="dxa" w:w="2400"/>
            <w:shd w:fill="FFFFFF" w:val="clear"/>
          </w:tcPr>
          <w:p>
            <w:pPr>
              <w:spacing w:after="60" w:before="60"/>
              <w:ind w:left="80" w:right="80"/>
            </w:pPr>
            <w:r>
              <w:rPr>
                <w:b w:val="false"/>
                <w:bCs w:val="false"/>
                <w:color w:val="000000"/>
                <w:sz w:val="20"/>
                <w:szCs w:val="20"/>
              </w:rPr>
              <w:t xml:space="preserve">Meal Plan Creation &amp; Management</w:t>
            </w:r>
          </w:p>
        </w:tc>
        <w:tc>
          <w:tcPr>
            <w:tcW w:type="dxa" w:w="5700"/>
            <w:shd w:fill="FFFFFF" w:val="clear"/>
          </w:tcPr>
          <w:p>
            <w:pPr>
              <w:spacing w:after="60" w:before="60"/>
              <w:ind w:left="80" w:right="80"/>
            </w:pPr>
            <w:r>
              <w:rPr>
                <w:b w:val="false"/>
                <w:bCs w:val="false"/>
                <w:color w:val="000000"/>
                <w:sz w:val="20"/>
                <w:szCs w:val="20"/>
              </w:rPr>
              <w:t xml:space="preserve">Create meal plan linked to a specific client
Add multiple meals with name, ingredients, calories, and macros (protein, carbs, fat)
Automatic total calculation across all meals (getTotals method)
Edit and delete meal plans</w:t>
            </w:r>
          </w:p>
        </w:tc>
      </w:tr>
      <w:tr>
        <w:tc>
          <w:tcPr>
            <w:tcW w:type="dxa" w:w="900"/>
            <w:shd w:fill="FFFFFF" w:val="clear"/>
          </w:tcPr>
          <w:p>
            <w:pPr>
              <w:spacing w:after="60" w:before="60"/>
              <w:ind w:left="80" w:right="80"/>
            </w:pPr>
            <w:r>
              <w:rPr>
                <w:b w:val="false"/>
                <w:bCs w:val="false"/>
                <w:color w:val="000000"/>
                <w:sz w:val="20"/>
                <w:szCs w:val="20"/>
              </w:rPr>
              <w:t xml:space="preserve">FR-5</w:t>
            </w:r>
          </w:p>
        </w:tc>
        <w:tc>
          <w:tcPr>
            <w:tcW w:type="dxa" w:w="2400"/>
            <w:shd w:fill="FFFFFF" w:val="clear"/>
          </w:tcPr>
          <w:p>
            <w:pPr>
              <w:spacing w:after="60" w:before="60"/>
              <w:ind w:left="80" w:right="80"/>
            </w:pPr>
            <w:r>
              <w:rPr>
                <w:b w:val="false"/>
                <w:bCs w:val="false"/>
                <w:color w:val="000000"/>
                <w:sz w:val="20"/>
                <w:szCs w:val="20"/>
              </w:rPr>
              <w:t xml:space="preserve">Progress Monitoring</w:t>
            </w:r>
          </w:p>
        </w:tc>
        <w:tc>
          <w:tcPr>
            <w:tcW w:type="dxa" w:w="5700"/>
            <w:shd w:fill="FFFFFF" w:val="clear"/>
          </w:tcPr>
          <w:p>
            <w:pPr>
              <w:spacing w:after="60" w:before="60"/>
              <w:ind w:left="80" w:right="80"/>
            </w:pPr>
            <w:r>
              <w:rPr>
                <w:b w:val="false"/>
                <w:bCs w:val="false"/>
                <w:color w:val="000000"/>
                <w:sz w:val="20"/>
                <w:szCs w:val="20"/>
              </w:rPr>
              <w:t xml:space="preserve">Log daily calorie and macro intake for a client
Set nutritional goals (calories, protein, carbs, fat, adherence target)
Calculate daily adherence percentage
View progress history with date-stamped logs</w:t>
            </w:r>
          </w:p>
        </w:tc>
      </w:tr>
      <w:tr>
        <w:tc>
          <w:tcPr>
            <w:tcW w:type="dxa" w:w="900"/>
            <w:shd w:fill="FFFFFF" w:val="clear"/>
          </w:tcPr>
          <w:p>
            <w:pPr>
              <w:spacing w:after="60" w:before="60"/>
              <w:ind w:left="80" w:right="80"/>
            </w:pPr>
            <w:r>
              <w:rPr>
                <w:b w:val="false"/>
                <w:bCs w:val="false"/>
                <w:color w:val="000000"/>
                <w:sz w:val="20"/>
                <w:szCs w:val="20"/>
              </w:rPr>
              <w:t xml:space="preserve">FR-6</w:t>
            </w:r>
          </w:p>
        </w:tc>
        <w:tc>
          <w:tcPr>
            <w:tcW w:type="dxa" w:w="2400"/>
            <w:shd w:fill="FFFFFF" w:val="clear"/>
          </w:tcPr>
          <w:p>
            <w:pPr>
              <w:spacing w:after="60" w:before="60"/>
              <w:ind w:left="80" w:right="80"/>
            </w:pPr>
            <w:r>
              <w:rPr>
                <w:b w:val="false"/>
                <w:bCs w:val="false"/>
                <w:color w:val="000000"/>
                <w:sz w:val="20"/>
                <w:szCs w:val="20"/>
              </w:rPr>
              <w:t xml:space="preserve">Admin Panel</w:t>
            </w:r>
          </w:p>
        </w:tc>
        <w:tc>
          <w:tcPr>
            <w:tcW w:type="dxa" w:w="5700"/>
            <w:shd w:fill="FFFFFF" w:val="clear"/>
          </w:tcPr>
          <w:p>
            <w:pPr>
              <w:spacing w:after="60" w:before="60"/>
              <w:ind w:left="80" w:right="80"/>
            </w:pPr>
            <w:r>
              <w:rPr>
                <w:b w:val="false"/>
                <w:bCs w:val="false"/>
                <w:color w:val="000000"/>
                <w:sz w:val="20"/>
                <w:szCs w:val="20"/>
              </w:rPr>
              <w:t xml:space="preserve">View all platform users with roles and approval status
Approve or reject pending dietitian accounts
Change any user's role
Delete user accounts
View platform-wide stats: total users, clients, meal plans, progress logs</w:t>
            </w:r>
          </w:p>
        </w:tc>
      </w:tr>
      <w:tr>
        <w:tc>
          <w:tcPr>
            <w:tcW w:type="dxa" w:w="900"/>
            <w:shd w:fill="FFFFFF" w:val="clear"/>
          </w:tcPr>
          <w:p>
            <w:pPr>
              <w:spacing w:after="60" w:before="60"/>
              <w:ind w:left="80" w:right="80"/>
            </w:pPr>
            <w:r>
              <w:rPr>
                <w:b w:val="false"/>
                <w:bCs w:val="false"/>
                <w:color w:val="000000"/>
                <w:sz w:val="20"/>
                <w:szCs w:val="20"/>
              </w:rPr>
              <w:t xml:space="preserve">FR-7</w:t>
            </w:r>
          </w:p>
        </w:tc>
        <w:tc>
          <w:tcPr>
            <w:tcW w:type="dxa" w:w="2400"/>
            <w:shd w:fill="FFFFFF" w:val="clear"/>
          </w:tcPr>
          <w:p>
            <w:pPr>
              <w:spacing w:after="60" w:before="60"/>
              <w:ind w:left="80" w:right="80"/>
            </w:pPr>
            <w:r>
              <w:rPr>
                <w:b w:val="false"/>
                <w:bCs w:val="false"/>
                <w:color w:val="000000"/>
                <w:sz w:val="20"/>
                <w:szCs w:val="20"/>
              </w:rPr>
              <w:t xml:space="preserve">Database Seed</w:t>
            </w:r>
          </w:p>
        </w:tc>
        <w:tc>
          <w:tcPr>
            <w:tcW w:type="dxa" w:w="5700"/>
            <w:shd w:fill="FFFFFF" w:val="clear"/>
          </w:tcPr>
          <w:p>
            <w:pPr>
              <w:spacing w:after="60" w:before="60"/>
              <w:ind w:left="80" w:right="80"/>
            </w:pPr>
            <w:r>
              <w:rPr>
                <w:b w:val="false"/>
                <w:bCs w:val="false"/>
                <w:color w:val="000000"/>
                <w:sz w:val="20"/>
                <w:szCs w:val="20"/>
              </w:rPr>
              <w:t xml:space="preserve">Seed script (seed.js) creates sample Admin, Dietitian, and User accounts
Creates sample client profile, meal plan with 3 meals, and 2 progress log entries
Idempotent — safe to run multiple times (upsert logic)</w:t>
            </w:r>
          </w:p>
        </w:tc>
      </w:tr>
    </w:tbl>
    <w:p>
      <w:pPr>
        <w:spacing w:after="80" w:before="80"/>
      </w:pPr>
    </w:p>
    <w:p>
      <w:pPr>
        <w:pBdr>
          <w:bottom w:val="single" w:color="000000" w:sz="4" w:space="4"/>
        </w:pBdr>
        <w:spacing w:after="120" w:before="240"/>
      </w:pPr>
      <w:r>
        <w:rPr>
          <w:b/>
          <w:bCs/>
          <w:sz w:val="28"/>
          <w:szCs w:val="28"/>
        </w:rPr>
        <w:t xml:space="preserve">Non-Functional Requirements</w:t>
      </w:r>
    </w:p>
    <w:p>
      <w:pPr>
        <w:spacing w:after="80" w:before="80"/>
      </w:pPr>
    </w:p>
    <w:tbl>
      <w:tblPr>
        <w:tblW w:type="dxa" w:w="9000"/>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2000"/>
        <w:gridCol w:w="6100"/>
      </w:tblGrid>
      <w:tr>
        <w:tc>
          <w:tcPr>
            <w:tcW w:type="dxa" w:w="900"/>
            <w:shd w:fill="EFEFEF" w:val="clear"/>
          </w:tcPr>
          <w:p>
            <w:pPr>
              <w:spacing w:after="60" w:before="60"/>
              <w:ind w:left="80" w:right="80"/>
            </w:pPr>
            <w:r>
              <w:rPr>
                <w:b/>
                <w:bCs/>
                <w:color w:val="000000"/>
                <w:sz w:val="20"/>
                <w:szCs w:val="20"/>
              </w:rPr>
              <w:t xml:space="preserve">NFR No.</w:t>
            </w:r>
          </w:p>
        </w:tc>
        <w:tc>
          <w:tcPr>
            <w:tcW w:type="dxa" w:w="2000"/>
            <w:shd w:fill="EFEFEF" w:val="clear"/>
          </w:tcPr>
          <w:p>
            <w:pPr>
              <w:spacing w:after="60" w:before="60"/>
              <w:ind w:left="80" w:right="80"/>
            </w:pPr>
            <w:r>
              <w:rPr>
                <w:b/>
                <w:bCs/>
                <w:color w:val="000000"/>
                <w:sz w:val="20"/>
                <w:szCs w:val="20"/>
              </w:rPr>
              <w:t xml:space="preserve">Non-Functional Requirement</w:t>
            </w:r>
          </w:p>
        </w:tc>
        <w:tc>
          <w:tcPr>
            <w:tcW w:type="dxa" w:w="6100"/>
            <w:shd w:fill="EFEFEF" w:val="clear"/>
          </w:tcPr>
          <w:p>
            <w:pPr>
              <w:spacing w:after="60" w:before="60"/>
              <w:ind w:left="80" w:right="80"/>
            </w:pPr>
            <w:r>
              <w:rPr>
                <w:b/>
                <w:bCs/>
                <w:color w:val="000000"/>
                <w:sz w:val="20"/>
                <w:szCs w:val="20"/>
              </w:rPr>
              <w:t xml:space="preserve">Description</w:t>
            </w:r>
          </w:p>
        </w:tc>
      </w:tr>
      <w:tr>
        <w:tc>
          <w:tcPr>
            <w:tcW w:type="dxa" w:w="900"/>
            <w:shd w:fill="FFFFFF" w:val="clear"/>
          </w:tcPr>
          <w:p>
            <w:pPr>
              <w:spacing w:after="60" w:before="60"/>
              <w:ind w:left="80" w:right="80"/>
            </w:pPr>
            <w:r>
              <w:rPr>
                <w:b w:val="false"/>
                <w:bCs w:val="false"/>
                <w:color w:val="000000"/>
                <w:sz w:val="20"/>
                <w:szCs w:val="20"/>
              </w:rPr>
              <w:t xml:space="preserve">NFR-1</w:t>
            </w:r>
          </w:p>
        </w:tc>
        <w:tc>
          <w:tcPr>
            <w:tcW w:type="dxa" w:w="2000"/>
            <w:shd w:fill="FFFFFF" w:val="clear"/>
          </w:tcPr>
          <w:p>
            <w:pPr>
              <w:spacing w:after="60" w:before="60"/>
              <w:ind w:left="80" w:right="80"/>
            </w:pPr>
            <w:r>
              <w:rPr>
                <w:b w:val="false"/>
                <w:bCs w:val="false"/>
                <w:color w:val="000000"/>
                <w:sz w:val="20"/>
                <w:szCs w:val="20"/>
              </w:rPr>
              <w:t xml:space="preserve">Usability</w:t>
            </w:r>
          </w:p>
        </w:tc>
        <w:tc>
          <w:tcPr>
            <w:tcW w:type="dxa" w:w="6100"/>
            <w:shd w:fill="FFFFFF" w:val="clear"/>
          </w:tcPr>
          <w:p>
            <w:pPr>
              <w:spacing w:after="60" w:before="60"/>
              <w:ind w:left="80" w:right="80"/>
            </w:pPr>
            <w:r>
              <w:rPr>
                <w:b w:val="false"/>
                <w:bCs w:val="false"/>
                <w:color w:val="000000"/>
                <w:sz w:val="20"/>
                <w:szCs w:val="20"/>
              </w:rPr>
              <w:t xml:space="preserve">Role-aware navigation — nav tabs conditionally shown based on logged-in role. Clean, responsive Bootstrap layout compatible with desktop and mobile browsers. Clear error messages for failed login, validation errors, and unauthorized access.</w:t>
            </w:r>
          </w:p>
        </w:tc>
      </w:tr>
      <w:tr>
        <w:tc>
          <w:tcPr>
            <w:tcW w:type="dxa" w:w="900"/>
            <w:shd w:fill="FFFFFF" w:val="clear"/>
          </w:tcPr>
          <w:p>
            <w:pPr>
              <w:spacing w:after="60" w:before="60"/>
              <w:ind w:left="80" w:right="80"/>
            </w:pPr>
            <w:r>
              <w:rPr>
                <w:b w:val="false"/>
                <w:bCs w:val="false"/>
                <w:color w:val="000000"/>
                <w:sz w:val="20"/>
                <w:szCs w:val="20"/>
              </w:rPr>
              <w:t xml:space="preserve">NFR-2</w:t>
            </w:r>
          </w:p>
        </w:tc>
        <w:tc>
          <w:tcPr>
            <w:tcW w:type="dxa" w:w="2000"/>
            <w:shd w:fill="FFFFFF" w:val="clear"/>
          </w:tcPr>
          <w:p>
            <w:pPr>
              <w:spacing w:after="60" w:before="60"/>
              <w:ind w:left="80" w:right="80"/>
            </w:pPr>
            <w:r>
              <w:rPr>
                <w:b w:val="false"/>
                <w:bCs w:val="false"/>
                <w:color w:val="000000"/>
                <w:sz w:val="20"/>
                <w:szCs w:val="20"/>
              </w:rPr>
              <w:t xml:space="preserve">Security</w:t>
            </w:r>
          </w:p>
        </w:tc>
        <w:tc>
          <w:tcPr>
            <w:tcW w:type="dxa" w:w="6100"/>
            <w:shd w:fill="FFFFFF" w:val="clear"/>
          </w:tcPr>
          <w:p>
            <w:pPr>
              <w:spacing w:after="60" w:before="60"/>
              <w:ind w:left="80" w:right="80"/>
            </w:pPr>
            <w:r>
              <w:rPr>
                <w:b w:val="false"/>
                <w:bCs w:val="false"/>
                <w:color w:val="000000"/>
                <w:sz w:val="20"/>
                <w:szCs w:val="20"/>
              </w:rPr>
              <w:t xml:space="preserve">All passwords hashed with bcrypt (12 salt rounds). JWT tokens with 1-day expiry. Every protected endpoint enforces both requireAuth and requireRole server-side. .env file containing MONGO_URI and JWT_SECRET excluded from version control. No plain-text passwords stored in the database at any point.</w:t>
            </w:r>
          </w:p>
        </w:tc>
      </w:tr>
      <w:tr>
        <w:tc>
          <w:tcPr>
            <w:tcW w:type="dxa" w:w="900"/>
            <w:shd w:fill="FFFFFF" w:val="clear"/>
          </w:tcPr>
          <w:p>
            <w:pPr>
              <w:spacing w:after="60" w:before="60"/>
              <w:ind w:left="80" w:right="80"/>
            </w:pPr>
            <w:r>
              <w:rPr>
                <w:b w:val="false"/>
                <w:bCs w:val="false"/>
                <w:color w:val="000000"/>
                <w:sz w:val="20"/>
                <w:szCs w:val="20"/>
              </w:rPr>
              <w:t xml:space="preserve">NFR-3</w:t>
            </w:r>
          </w:p>
        </w:tc>
        <w:tc>
          <w:tcPr>
            <w:tcW w:type="dxa" w:w="2000"/>
            <w:shd w:fill="FFFFFF" w:val="clear"/>
          </w:tcPr>
          <w:p>
            <w:pPr>
              <w:spacing w:after="60" w:before="60"/>
              <w:ind w:left="80" w:right="80"/>
            </w:pPr>
            <w:r>
              <w:rPr>
                <w:b w:val="false"/>
                <w:bCs w:val="false"/>
                <w:color w:val="000000"/>
                <w:sz w:val="20"/>
                <w:szCs w:val="20"/>
              </w:rPr>
              <w:t xml:space="preserve">Reliability</w:t>
            </w:r>
          </w:p>
        </w:tc>
        <w:tc>
          <w:tcPr>
            <w:tcW w:type="dxa" w:w="6100"/>
            <w:shd w:fill="FFFFFF" w:val="clear"/>
          </w:tcPr>
          <w:p>
            <w:pPr>
              <w:spacing w:after="60" w:before="60"/>
              <w:ind w:left="80" w:right="80"/>
            </w:pPr>
            <w:r>
              <w:rPr>
                <w:b w:val="false"/>
                <w:bCs w:val="false"/>
                <w:color w:val="000000"/>
                <w:sz w:val="20"/>
                <w:szCs w:val="20"/>
              </w:rPr>
              <w:t xml:space="preserve">Centralized error-handling middleware ensures consistent JSON error responses across all endpoints. MongoDB Atlas provides automated backups and 99.995% uptime SLA. asyncHandler wrapper prevents unhandled promise rejections from crashing the server.</w:t>
            </w:r>
          </w:p>
        </w:tc>
      </w:tr>
      <w:tr>
        <w:tc>
          <w:tcPr>
            <w:tcW w:type="dxa" w:w="900"/>
            <w:shd w:fill="FFFFFF" w:val="clear"/>
          </w:tcPr>
          <w:p>
            <w:pPr>
              <w:spacing w:after="60" w:before="60"/>
              <w:ind w:left="80" w:right="80"/>
            </w:pPr>
            <w:r>
              <w:rPr>
                <w:b w:val="false"/>
                <w:bCs w:val="false"/>
                <w:color w:val="000000"/>
                <w:sz w:val="20"/>
                <w:szCs w:val="20"/>
              </w:rPr>
              <w:t xml:space="preserve">NFR-4</w:t>
            </w:r>
          </w:p>
        </w:tc>
        <w:tc>
          <w:tcPr>
            <w:tcW w:type="dxa" w:w="2000"/>
            <w:shd w:fill="FFFFFF" w:val="clear"/>
          </w:tcPr>
          <w:p>
            <w:pPr>
              <w:spacing w:after="60" w:before="60"/>
              <w:ind w:left="80" w:right="80"/>
            </w:pPr>
            <w:r>
              <w:rPr>
                <w:b w:val="false"/>
                <w:bCs w:val="false"/>
                <w:color w:val="000000"/>
                <w:sz w:val="20"/>
                <w:szCs w:val="20"/>
              </w:rPr>
              <w:t xml:space="preserve">Performance</w:t>
            </w:r>
          </w:p>
        </w:tc>
        <w:tc>
          <w:tcPr>
            <w:tcW w:type="dxa" w:w="6100"/>
            <w:shd w:fill="FFFFFF" w:val="clear"/>
          </w:tcPr>
          <w:p>
            <w:pPr>
              <w:spacing w:after="60" w:before="60"/>
              <w:ind w:left="80" w:right="80"/>
            </w:pPr>
            <w:r>
              <w:rPr>
                <w:b w:val="false"/>
                <w:bCs w:val="false"/>
                <w:color w:val="000000"/>
                <w:sz w:val="20"/>
                <w:szCs w:val="20"/>
              </w:rPr>
              <w:t xml:space="preserve">MongoDB indexes on email (Users) and clientId (MealPlans, Progress) for fast lookups. React.lazy + Suspense for route-level code splitting — pages load on demand, reducing initial bundle size. Axios response interceptor handles 401 errors globally without repeating error logic per component.</w:t>
            </w:r>
          </w:p>
        </w:tc>
      </w:tr>
      <w:tr>
        <w:tc>
          <w:tcPr>
            <w:tcW w:type="dxa" w:w="900"/>
            <w:shd w:fill="FFFFFF" w:val="clear"/>
          </w:tcPr>
          <w:p>
            <w:pPr>
              <w:spacing w:after="60" w:before="60"/>
              <w:ind w:left="80" w:right="80"/>
            </w:pPr>
            <w:r>
              <w:rPr>
                <w:b w:val="false"/>
                <w:bCs w:val="false"/>
                <w:color w:val="000000"/>
                <w:sz w:val="20"/>
                <w:szCs w:val="20"/>
              </w:rPr>
              <w:t xml:space="preserve">NFR-5</w:t>
            </w:r>
          </w:p>
        </w:tc>
        <w:tc>
          <w:tcPr>
            <w:tcW w:type="dxa" w:w="2000"/>
            <w:shd w:fill="FFFFFF" w:val="clear"/>
          </w:tcPr>
          <w:p>
            <w:pPr>
              <w:spacing w:after="60" w:before="60"/>
              <w:ind w:left="80" w:right="80"/>
            </w:pPr>
            <w:r>
              <w:rPr>
                <w:b w:val="false"/>
                <w:bCs w:val="false"/>
                <w:color w:val="000000"/>
                <w:sz w:val="20"/>
                <w:szCs w:val="20"/>
              </w:rPr>
              <w:t xml:space="preserve">Availability</w:t>
            </w:r>
          </w:p>
        </w:tc>
        <w:tc>
          <w:tcPr>
            <w:tcW w:type="dxa" w:w="6100"/>
            <w:shd w:fill="FFFFFF" w:val="clear"/>
          </w:tcPr>
          <w:p>
            <w:pPr>
              <w:spacing w:after="60" w:before="60"/>
              <w:ind w:left="80" w:right="80"/>
            </w:pPr>
            <w:r>
              <w:rPr>
                <w:b w:val="false"/>
                <w:bCs w:val="false"/>
                <w:color w:val="000000"/>
                <w:sz w:val="20"/>
                <w:szCs w:val="20"/>
              </w:rPr>
              <w:t xml:space="preserve">MongoDB Atlas free tier (M0) hosted on cloud — always-on, no local dependency. Frontend and backend can be deployed independently to cloud platforms (Vercel, Render, Heroku). IP whitelist on Atlas allows access from any deployment environment.</w:t>
            </w:r>
          </w:p>
        </w:tc>
      </w:tr>
      <w:tr>
        <w:tc>
          <w:tcPr>
            <w:tcW w:type="dxa" w:w="900"/>
            <w:shd w:fill="FFFFFF" w:val="clear"/>
          </w:tcPr>
          <w:p>
            <w:pPr>
              <w:spacing w:after="60" w:before="60"/>
              <w:ind w:left="80" w:right="80"/>
            </w:pPr>
            <w:r>
              <w:rPr>
                <w:b w:val="false"/>
                <w:bCs w:val="false"/>
                <w:color w:val="000000"/>
                <w:sz w:val="20"/>
                <w:szCs w:val="20"/>
              </w:rPr>
              <w:t xml:space="preserve">NFR-6</w:t>
            </w:r>
          </w:p>
        </w:tc>
        <w:tc>
          <w:tcPr>
            <w:tcW w:type="dxa" w:w="2000"/>
            <w:shd w:fill="FFFFFF" w:val="clear"/>
          </w:tcPr>
          <w:p>
            <w:pPr>
              <w:spacing w:after="60" w:before="60"/>
              <w:ind w:left="80" w:right="80"/>
            </w:pPr>
            <w:r>
              <w:rPr>
                <w:b w:val="false"/>
                <w:bCs w:val="false"/>
                <w:color w:val="000000"/>
                <w:sz w:val="20"/>
                <w:szCs w:val="20"/>
              </w:rPr>
              <w:t xml:space="preserve">Scalability</w:t>
            </w:r>
          </w:p>
        </w:tc>
        <w:tc>
          <w:tcPr>
            <w:tcW w:type="dxa" w:w="6100"/>
            <w:shd w:fill="FFFFFF" w:val="clear"/>
          </w:tcPr>
          <w:p>
            <w:pPr>
              <w:spacing w:after="60" w:before="60"/>
              <w:ind w:left="80" w:right="80"/>
            </w:pPr>
            <w:r>
              <w:rPr>
                <w:b w:val="false"/>
                <w:bCs w:val="false"/>
                <w:color w:val="000000"/>
                <w:sz w:val="20"/>
                <w:szCs w:val="20"/>
              </w:rPr>
              <w:t xml:space="preserve">Stateless JWT authentication enables horizontal backend scaling — no server-side sessions. MongoDB Atlas scales storage and compute independently. New roles or modules (e.g. nurse, fitness trainer) can be added by extending existing middleware without restructuring the core. Modular MVC architecture allows teams to work on controllers, models, and routes independently.</w:t>
            </w:r>
          </w:p>
        </w:tc>
      </w:tr>
    </w:tbl>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2026-07-11T16:49:39.846Z</dcterms:created>
  <dcterms:modified xsi:type="dcterms:W3CDTF">2026-07-11T16:49:39.846Z</dcterms:modified>
</cp:coreProperties>
</file>

<file path=docProps/custom.xml><?xml version="1.0" encoding="utf-8"?>
<Properties xmlns="http://schemas.openxmlformats.org/officeDocument/2006/custom-properties" xmlns:vt="http://schemas.openxmlformats.org/officeDocument/2006/docPropsVTypes"/>
</file>