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93B1D" w14:textId="244E2368" w:rsidR="00CD4398" w:rsidRPr="00CD4398" w:rsidRDefault="00CD4398">
      <w:pPr>
        <w:rPr>
          <w:b/>
          <w:bCs/>
          <w:sz w:val="24"/>
          <w:szCs w:val="24"/>
        </w:rPr>
      </w:pPr>
      <w:r w:rsidRPr="00CD4398">
        <w:rPr>
          <w:b/>
          <w:bCs/>
          <w:sz w:val="24"/>
          <w:szCs w:val="24"/>
        </w:rPr>
        <w:t xml:space="preserve">Task </w:t>
      </w:r>
      <w:r w:rsidR="005C3B44">
        <w:rPr>
          <w:b/>
          <w:bCs/>
          <w:sz w:val="24"/>
          <w:szCs w:val="24"/>
        </w:rPr>
        <w:t>5</w:t>
      </w:r>
    </w:p>
    <w:p w14:paraId="2AE68DB3" w14:textId="0ED4B3FA" w:rsidR="0083584B" w:rsidRDefault="00CD4398">
      <w:pPr>
        <w:rPr>
          <w:b/>
          <w:bCs/>
          <w:sz w:val="24"/>
          <w:szCs w:val="24"/>
        </w:rPr>
      </w:pPr>
      <w:r w:rsidRPr="00CD4398">
        <w:rPr>
          <w:b/>
          <w:bCs/>
          <w:sz w:val="24"/>
          <w:szCs w:val="24"/>
        </w:rPr>
        <w:t>Compliance Strategy</w:t>
      </w:r>
    </w:p>
    <w:p w14:paraId="48BB8225" w14:textId="2FD5D780" w:rsidR="00CD4398" w:rsidRPr="00CD4398" w:rsidRDefault="00CD4398" w:rsidP="00CD4398">
      <w:pPr>
        <w:rPr>
          <w:sz w:val="24"/>
          <w:szCs w:val="24"/>
        </w:rPr>
      </w:pPr>
      <w:r w:rsidRPr="00CD4398">
        <w:rPr>
          <w:sz w:val="24"/>
          <w:szCs w:val="24"/>
        </w:rPr>
        <w:t>This Compliance Strategy outlines the framework and approach adopted to ensure regulatory adherence, safeguard data, and implement robust compliance mechanisms. It supports the organization’s risk management objectives and commitment to ethical, legal, and secure operations across all domains.</w:t>
      </w:r>
    </w:p>
    <w:p w14:paraId="5C7CAF2A" w14:textId="77777777" w:rsidR="00CD4398" w:rsidRPr="00CD4398" w:rsidRDefault="00CD4398" w:rsidP="00CD4398">
      <w:pPr>
        <w:rPr>
          <w:b/>
          <w:bCs/>
          <w:sz w:val="24"/>
          <w:szCs w:val="24"/>
        </w:rPr>
      </w:pPr>
      <w:r w:rsidRPr="00CD4398">
        <w:rPr>
          <w:b/>
          <w:bCs/>
          <w:sz w:val="24"/>
          <w:szCs w:val="24"/>
        </w:rPr>
        <w:t>2. Regulatory Compliance</w:t>
      </w:r>
    </w:p>
    <w:p w14:paraId="3658C369" w14:textId="77777777" w:rsidR="00CD4398" w:rsidRPr="00CD4398" w:rsidRDefault="00CD4398" w:rsidP="00CD4398">
      <w:pPr>
        <w:rPr>
          <w:sz w:val="24"/>
          <w:szCs w:val="24"/>
        </w:rPr>
      </w:pPr>
      <w:r w:rsidRPr="00CD4398">
        <w:rPr>
          <w:sz w:val="24"/>
          <w:szCs w:val="24"/>
        </w:rPr>
        <w:t>Ensuring compliance with a broad spectrum of regulatory standards is vital in the financial and banking sector. The following regulatory domains are prioritized:</w:t>
      </w:r>
    </w:p>
    <w:p w14:paraId="064D753B" w14:textId="77777777" w:rsidR="00CD4398" w:rsidRPr="00CD4398" w:rsidRDefault="00CD4398" w:rsidP="00CD4398">
      <w:pPr>
        <w:spacing w:after="0"/>
        <w:rPr>
          <w:b/>
          <w:bCs/>
          <w:sz w:val="24"/>
          <w:szCs w:val="24"/>
        </w:rPr>
      </w:pPr>
      <w:r w:rsidRPr="00CD4398">
        <w:rPr>
          <w:b/>
          <w:bCs/>
          <w:sz w:val="24"/>
          <w:szCs w:val="24"/>
        </w:rPr>
        <w:t>2.1. Banking Regulations</w:t>
      </w:r>
    </w:p>
    <w:p w14:paraId="649702FE" w14:textId="77777777" w:rsidR="00CD4398" w:rsidRPr="00CD4398" w:rsidRDefault="00CD4398" w:rsidP="00CD4398">
      <w:pPr>
        <w:numPr>
          <w:ilvl w:val="0"/>
          <w:numId w:val="1"/>
        </w:numPr>
        <w:spacing w:after="0"/>
        <w:rPr>
          <w:sz w:val="24"/>
          <w:szCs w:val="24"/>
        </w:rPr>
      </w:pPr>
      <w:r w:rsidRPr="00CD4398">
        <w:rPr>
          <w:b/>
          <w:bCs/>
          <w:sz w:val="24"/>
          <w:szCs w:val="24"/>
        </w:rPr>
        <w:t>Basel III Compliance:</w:t>
      </w:r>
      <w:r w:rsidRPr="00CD4398">
        <w:rPr>
          <w:sz w:val="24"/>
          <w:szCs w:val="24"/>
        </w:rPr>
        <w:br/>
        <w:t>Adherence to capital adequacy, liquidity, and leverage ratios as per international banking supervision standards to ensure financial stability.</w:t>
      </w:r>
    </w:p>
    <w:p w14:paraId="105AAAB6" w14:textId="77777777" w:rsidR="00CD4398" w:rsidRPr="00CD4398" w:rsidRDefault="00CD4398" w:rsidP="00CD4398">
      <w:pPr>
        <w:numPr>
          <w:ilvl w:val="0"/>
          <w:numId w:val="1"/>
        </w:numPr>
        <w:spacing w:after="0"/>
        <w:rPr>
          <w:sz w:val="24"/>
          <w:szCs w:val="24"/>
        </w:rPr>
      </w:pPr>
      <w:r w:rsidRPr="00CD4398">
        <w:rPr>
          <w:b/>
          <w:bCs/>
          <w:sz w:val="24"/>
          <w:szCs w:val="24"/>
        </w:rPr>
        <w:t>Anti-Money Laundering (AML) Guidelines:</w:t>
      </w:r>
      <w:r w:rsidRPr="00CD4398">
        <w:rPr>
          <w:sz w:val="24"/>
          <w:szCs w:val="24"/>
        </w:rPr>
        <w:br/>
        <w:t>Implementation of AML programs to detect and prevent money laundering, including Customer Due Diligence (CDD) and Enhanced Due Diligence (EDD) for high-risk entities.</w:t>
      </w:r>
    </w:p>
    <w:p w14:paraId="0153B2D5" w14:textId="77777777" w:rsidR="00CD4398" w:rsidRPr="00CD4398" w:rsidRDefault="00CD4398" w:rsidP="00CD4398">
      <w:pPr>
        <w:numPr>
          <w:ilvl w:val="0"/>
          <w:numId w:val="1"/>
        </w:numPr>
        <w:spacing w:after="0"/>
        <w:rPr>
          <w:sz w:val="24"/>
          <w:szCs w:val="24"/>
        </w:rPr>
      </w:pPr>
      <w:r w:rsidRPr="00CD4398">
        <w:rPr>
          <w:b/>
          <w:bCs/>
          <w:sz w:val="24"/>
          <w:szCs w:val="24"/>
        </w:rPr>
        <w:t>Know Your Customer (KYC) Regulations:</w:t>
      </w:r>
      <w:r w:rsidRPr="00CD4398">
        <w:rPr>
          <w:sz w:val="24"/>
          <w:szCs w:val="24"/>
        </w:rPr>
        <w:br/>
        <w:t>Mandatory verification of customer identities and regular updates of customer information to mitigate financial crimes and identity fraud.</w:t>
      </w:r>
    </w:p>
    <w:p w14:paraId="03003707" w14:textId="77777777" w:rsidR="00CD4398" w:rsidRPr="00CD4398" w:rsidRDefault="00CD4398" w:rsidP="00CD4398">
      <w:pPr>
        <w:spacing w:after="0"/>
        <w:rPr>
          <w:b/>
          <w:bCs/>
          <w:sz w:val="24"/>
          <w:szCs w:val="24"/>
        </w:rPr>
      </w:pPr>
      <w:r w:rsidRPr="00CD4398">
        <w:rPr>
          <w:b/>
          <w:bCs/>
          <w:sz w:val="24"/>
          <w:szCs w:val="24"/>
        </w:rPr>
        <w:t>2.2. Data Protection Regulations</w:t>
      </w:r>
    </w:p>
    <w:p w14:paraId="3A4BAA03" w14:textId="77777777" w:rsidR="00CD4398" w:rsidRPr="00CD4398" w:rsidRDefault="00CD4398" w:rsidP="00CD4398">
      <w:pPr>
        <w:numPr>
          <w:ilvl w:val="0"/>
          <w:numId w:val="2"/>
        </w:numPr>
        <w:spacing w:after="0"/>
        <w:rPr>
          <w:sz w:val="24"/>
          <w:szCs w:val="24"/>
        </w:rPr>
      </w:pPr>
      <w:r w:rsidRPr="00CD4398">
        <w:rPr>
          <w:b/>
          <w:bCs/>
          <w:sz w:val="24"/>
          <w:szCs w:val="24"/>
        </w:rPr>
        <w:t>General Data Protection Regulation (GDPR - EU):</w:t>
      </w:r>
      <w:r w:rsidRPr="00CD4398">
        <w:rPr>
          <w:sz w:val="24"/>
          <w:szCs w:val="24"/>
        </w:rPr>
        <w:br/>
        <w:t>Ensures lawful, fair, and transparent data processing for EU citizens. Key provisions include user consent, right to erasure, and data portability.</w:t>
      </w:r>
    </w:p>
    <w:p w14:paraId="03C60959" w14:textId="77777777" w:rsidR="00CD4398" w:rsidRPr="00CD4398" w:rsidRDefault="00CD4398" w:rsidP="00CD4398">
      <w:pPr>
        <w:numPr>
          <w:ilvl w:val="0"/>
          <w:numId w:val="2"/>
        </w:numPr>
        <w:spacing w:after="0"/>
        <w:rPr>
          <w:sz w:val="24"/>
          <w:szCs w:val="24"/>
        </w:rPr>
      </w:pPr>
      <w:r w:rsidRPr="00CD4398">
        <w:rPr>
          <w:b/>
          <w:bCs/>
          <w:sz w:val="24"/>
          <w:szCs w:val="24"/>
        </w:rPr>
        <w:t>California Consumer Privacy Act (CCPA):</w:t>
      </w:r>
      <w:r w:rsidRPr="00CD4398">
        <w:rPr>
          <w:sz w:val="24"/>
          <w:szCs w:val="24"/>
        </w:rPr>
        <w:br/>
        <w:t>Grants California residents rights regarding personal data usage, disclosure, and deletion, and mandates clear opt-out mechanisms.</w:t>
      </w:r>
    </w:p>
    <w:p w14:paraId="33FF2287" w14:textId="3151D09E" w:rsidR="00CD4398" w:rsidRPr="00CD4398" w:rsidRDefault="00CD4398" w:rsidP="00CD4398">
      <w:pPr>
        <w:numPr>
          <w:ilvl w:val="0"/>
          <w:numId w:val="2"/>
        </w:numPr>
        <w:spacing w:after="0"/>
        <w:rPr>
          <w:sz w:val="24"/>
          <w:szCs w:val="24"/>
        </w:rPr>
      </w:pPr>
      <w:r w:rsidRPr="00CD4398">
        <w:rPr>
          <w:b/>
          <w:bCs/>
          <w:sz w:val="24"/>
          <w:szCs w:val="24"/>
        </w:rPr>
        <w:t>Local Banking Regulatory Compliance:</w:t>
      </w:r>
      <w:r w:rsidRPr="00CD4398">
        <w:rPr>
          <w:sz w:val="24"/>
          <w:szCs w:val="24"/>
        </w:rPr>
        <w:br/>
        <w:t>Compliance with Reserve Bank of India (RBI) guidelines and any applicable national standards for data privacy, reporting, and operational risk.</w:t>
      </w:r>
    </w:p>
    <w:p w14:paraId="5DDC57A7" w14:textId="77777777" w:rsidR="00CD4398" w:rsidRPr="00CD4398" w:rsidRDefault="00CD4398" w:rsidP="00CD4398">
      <w:pPr>
        <w:spacing w:after="0"/>
        <w:rPr>
          <w:b/>
          <w:bCs/>
          <w:sz w:val="24"/>
          <w:szCs w:val="24"/>
        </w:rPr>
      </w:pPr>
      <w:r w:rsidRPr="00CD4398">
        <w:rPr>
          <w:b/>
          <w:bCs/>
          <w:sz w:val="24"/>
          <w:szCs w:val="24"/>
        </w:rPr>
        <w:t>3. Data Protection Strategy</w:t>
      </w:r>
    </w:p>
    <w:p w14:paraId="691B8DDD" w14:textId="77777777" w:rsidR="00CD4398" w:rsidRPr="00CD4398" w:rsidRDefault="00CD4398" w:rsidP="00CD4398">
      <w:pPr>
        <w:spacing w:after="0"/>
        <w:rPr>
          <w:sz w:val="24"/>
          <w:szCs w:val="24"/>
        </w:rPr>
      </w:pPr>
      <w:r w:rsidRPr="00CD4398">
        <w:rPr>
          <w:sz w:val="24"/>
          <w:szCs w:val="24"/>
        </w:rPr>
        <w:t>Data privacy and protection are integrated into all processes through:</w:t>
      </w:r>
    </w:p>
    <w:p w14:paraId="611E3C36" w14:textId="77777777" w:rsidR="00CD4398" w:rsidRPr="00CD4398" w:rsidRDefault="00CD4398" w:rsidP="00CD4398">
      <w:pPr>
        <w:numPr>
          <w:ilvl w:val="0"/>
          <w:numId w:val="3"/>
        </w:numPr>
        <w:spacing w:after="0"/>
        <w:rPr>
          <w:sz w:val="24"/>
          <w:szCs w:val="24"/>
        </w:rPr>
      </w:pPr>
      <w:r w:rsidRPr="00CD4398">
        <w:rPr>
          <w:b/>
          <w:bCs/>
          <w:sz w:val="24"/>
          <w:szCs w:val="24"/>
        </w:rPr>
        <w:t>Data Minimization:</w:t>
      </w:r>
      <w:r w:rsidRPr="00CD4398">
        <w:rPr>
          <w:sz w:val="24"/>
          <w:szCs w:val="24"/>
        </w:rPr>
        <w:br/>
        <w:t>Collecting only necessary data and limiting retention as per policy.</w:t>
      </w:r>
    </w:p>
    <w:p w14:paraId="5FF8D728" w14:textId="77777777" w:rsidR="00CD4398" w:rsidRPr="00CD4398" w:rsidRDefault="00CD4398" w:rsidP="00CD4398">
      <w:pPr>
        <w:numPr>
          <w:ilvl w:val="0"/>
          <w:numId w:val="3"/>
        </w:numPr>
        <w:spacing w:after="0"/>
        <w:rPr>
          <w:sz w:val="24"/>
          <w:szCs w:val="24"/>
        </w:rPr>
      </w:pPr>
      <w:r w:rsidRPr="00CD4398">
        <w:rPr>
          <w:b/>
          <w:bCs/>
          <w:sz w:val="24"/>
          <w:szCs w:val="24"/>
        </w:rPr>
        <w:t>Encryption and Anonymization:</w:t>
      </w:r>
      <w:r w:rsidRPr="00CD4398">
        <w:rPr>
          <w:sz w:val="24"/>
          <w:szCs w:val="24"/>
        </w:rPr>
        <w:br/>
        <w:t>Use of encryption (AES-256) and anonymization/pseudonymization techniques to protect sensitive data at rest and in transit.</w:t>
      </w:r>
    </w:p>
    <w:p w14:paraId="6862F6D1" w14:textId="77777777" w:rsidR="00CD4398" w:rsidRPr="00CD4398" w:rsidRDefault="00CD4398" w:rsidP="00CD4398">
      <w:pPr>
        <w:numPr>
          <w:ilvl w:val="0"/>
          <w:numId w:val="3"/>
        </w:numPr>
        <w:rPr>
          <w:sz w:val="24"/>
          <w:szCs w:val="24"/>
        </w:rPr>
      </w:pPr>
      <w:r w:rsidRPr="00CD4398">
        <w:rPr>
          <w:b/>
          <w:bCs/>
          <w:sz w:val="24"/>
          <w:szCs w:val="24"/>
        </w:rPr>
        <w:lastRenderedPageBreak/>
        <w:t>Access Controls:</w:t>
      </w:r>
      <w:r w:rsidRPr="00CD4398">
        <w:rPr>
          <w:sz w:val="24"/>
          <w:szCs w:val="24"/>
        </w:rPr>
        <w:br/>
        <w:t>Implementation of Role-Based Access Controls (RBAC) with strict authentication procedures to ensure only authorized access.</w:t>
      </w:r>
    </w:p>
    <w:p w14:paraId="18BACC70" w14:textId="0839BACD" w:rsidR="00CD4398" w:rsidRPr="00CD4398" w:rsidRDefault="00CD4398" w:rsidP="00CD4398">
      <w:pPr>
        <w:numPr>
          <w:ilvl w:val="0"/>
          <w:numId w:val="3"/>
        </w:numPr>
        <w:rPr>
          <w:sz w:val="24"/>
          <w:szCs w:val="24"/>
        </w:rPr>
      </w:pPr>
      <w:r w:rsidRPr="00CD4398">
        <w:rPr>
          <w:b/>
          <w:bCs/>
          <w:sz w:val="24"/>
          <w:szCs w:val="24"/>
        </w:rPr>
        <w:t>Incident Response Plan:</w:t>
      </w:r>
      <w:r w:rsidRPr="00CD4398">
        <w:rPr>
          <w:sz w:val="24"/>
          <w:szCs w:val="24"/>
        </w:rPr>
        <w:br/>
        <w:t>Defined protocols for identifying, managing, and reporting data breaches within mandated timelines (e.g., 72 hours for GDPR).</w:t>
      </w:r>
    </w:p>
    <w:p w14:paraId="51419DC8" w14:textId="77777777" w:rsidR="00CD4398" w:rsidRPr="00CD4398" w:rsidRDefault="00CD4398" w:rsidP="00CD4398">
      <w:pPr>
        <w:rPr>
          <w:b/>
          <w:bCs/>
          <w:sz w:val="24"/>
          <w:szCs w:val="24"/>
        </w:rPr>
      </w:pPr>
      <w:r w:rsidRPr="00CD4398">
        <w:rPr>
          <w:b/>
          <w:bCs/>
          <w:sz w:val="24"/>
          <w:szCs w:val="24"/>
        </w:rPr>
        <w:t>4. Compliance Mechanisms</w:t>
      </w:r>
    </w:p>
    <w:p w14:paraId="5D4EEB3B" w14:textId="77777777" w:rsidR="00CD4398" w:rsidRPr="00CD4398" w:rsidRDefault="00CD4398" w:rsidP="00CD4398">
      <w:pPr>
        <w:rPr>
          <w:sz w:val="24"/>
          <w:szCs w:val="24"/>
        </w:rPr>
      </w:pPr>
      <w:r w:rsidRPr="00CD4398">
        <w:rPr>
          <w:sz w:val="24"/>
          <w:szCs w:val="24"/>
        </w:rPr>
        <w:t>Robust and proactive compliance mechanisms are in place to monitor and enforce compliance across the enterprise:</w:t>
      </w:r>
    </w:p>
    <w:p w14:paraId="37A30DA7" w14:textId="77777777" w:rsidR="00CD4398" w:rsidRPr="00CD4398" w:rsidRDefault="00CD4398" w:rsidP="00CD4398">
      <w:pPr>
        <w:numPr>
          <w:ilvl w:val="0"/>
          <w:numId w:val="4"/>
        </w:numPr>
        <w:rPr>
          <w:sz w:val="24"/>
          <w:szCs w:val="24"/>
        </w:rPr>
      </w:pPr>
      <w:r w:rsidRPr="00CD4398">
        <w:rPr>
          <w:b/>
          <w:bCs/>
          <w:sz w:val="24"/>
          <w:szCs w:val="24"/>
        </w:rPr>
        <w:t>Automated Transaction Monitoring:</w:t>
      </w:r>
      <w:r w:rsidRPr="00CD4398">
        <w:rPr>
          <w:sz w:val="24"/>
          <w:szCs w:val="24"/>
        </w:rPr>
        <w:br/>
        <w:t>Real-time monitoring systems flag anomalous behaviors and patterns indicative of fraud, money laundering, or policy breaches.</w:t>
      </w:r>
    </w:p>
    <w:p w14:paraId="054F83A2" w14:textId="77777777" w:rsidR="00CD4398" w:rsidRPr="00CD4398" w:rsidRDefault="00CD4398" w:rsidP="00CD4398">
      <w:pPr>
        <w:numPr>
          <w:ilvl w:val="0"/>
          <w:numId w:val="4"/>
        </w:numPr>
        <w:rPr>
          <w:sz w:val="24"/>
          <w:szCs w:val="24"/>
        </w:rPr>
      </w:pPr>
      <w:r w:rsidRPr="00CD4398">
        <w:rPr>
          <w:b/>
          <w:bCs/>
          <w:sz w:val="24"/>
          <w:szCs w:val="24"/>
        </w:rPr>
        <w:t>Suspicious Activity Reporting (SAR):</w:t>
      </w:r>
      <w:r w:rsidRPr="00CD4398">
        <w:rPr>
          <w:sz w:val="24"/>
          <w:szCs w:val="24"/>
        </w:rPr>
        <w:br/>
        <w:t>Timely and documented reporting of suspicious transactions to relevant authorities as per AML regulations.</w:t>
      </w:r>
    </w:p>
    <w:p w14:paraId="567987A9" w14:textId="77777777" w:rsidR="00CD4398" w:rsidRPr="00CD4398" w:rsidRDefault="00CD4398" w:rsidP="00CD4398">
      <w:pPr>
        <w:numPr>
          <w:ilvl w:val="0"/>
          <w:numId w:val="4"/>
        </w:numPr>
        <w:rPr>
          <w:sz w:val="24"/>
          <w:szCs w:val="24"/>
        </w:rPr>
      </w:pPr>
      <w:r w:rsidRPr="00CD4398">
        <w:rPr>
          <w:b/>
          <w:bCs/>
          <w:sz w:val="24"/>
          <w:szCs w:val="24"/>
        </w:rPr>
        <w:t>Auditing:</w:t>
      </w:r>
    </w:p>
    <w:p w14:paraId="0F5645E0" w14:textId="77777777" w:rsidR="00CD4398" w:rsidRPr="00CD4398" w:rsidRDefault="00CD4398" w:rsidP="00CD4398">
      <w:pPr>
        <w:numPr>
          <w:ilvl w:val="1"/>
          <w:numId w:val="4"/>
        </w:numPr>
        <w:rPr>
          <w:sz w:val="24"/>
          <w:szCs w:val="24"/>
        </w:rPr>
      </w:pPr>
      <w:r w:rsidRPr="00CD4398">
        <w:rPr>
          <w:b/>
          <w:bCs/>
          <w:sz w:val="24"/>
          <w:szCs w:val="24"/>
        </w:rPr>
        <w:t>Internal Audits:</w:t>
      </w:r>
      <w:r w:rsidRPr="00CD4398">
        <w:rPr>
          <w:sz w:val="24"/>
          <w:szCs w:val="24"/>
        </w:rPr>
        <w:t xml:space="preserve"> Periodic internal reviews of data handling, risk mitigation, and regulatory conformance.</w:t>
      </w:r>
    </w:p>
    <w:p w14:paraId="7BC34FEE" w14:textId="77777777" w:rsidR="00CD4398" w:rsidRPr="00CD4398" w:rsidRDefault="00CD4398" w:rsidP="00CD4398">
      <w:pPr>
        <w:numPr>
          <w:ilvl w:val="1"/>
          <w:numId w:val="4"/>
        </w:numPr>
        <w:rPr>
          <w:sz w:val="24"/>
          <w:szCs w:val="24"/>
        </w:rPr>
      </w:pPr>
      <w:r w:rsidRPr="00CD4398">
        <w:rPr>
          <w:b/>
          <w:bCs/>
          <w:sz w:val="24"/>
          <w:szCs w:val="24"/>
        </w:rPr>
        <w:t>External Audits:</w:t>
      </w:r>
      <w:r w:rsidRPr="00CD4398">
        <w:rPr>
          <w:sz w:val="24"/>
          <w:szCs w:val="24"/>
        </w:rPr>
        <w:t xml:space="preserve"> Annual or bi-annual third-party audits to validate compliance and uncover gaps.</w:t>
      </w:r>
    </w:p>
    <w:p w14:paraId="008039C1" w14:textId="5C5408E4" w:rsidR="00CD4398" w:rsidRPr="00CD4398" w:rsidRDefault="00CD4398" w:rsidP="00CD4398">
      <w:pPr>
        <w:numPr>
          <w:ilvl w:val="0"/>
          <w:numId w:val="4"/>
        </w:numPr>
        <w:rPr>
          <w:sz w:val="24"/>
          <w:szCs w:val="24"/>
        </w:rPr>
      </w:pPr>
      <w:r w:rsidRPr="00CD4398">
        <w:rPr>
          <w:b/>
          <w:bCs/>
          <w:sz w:val="24"/>
          <w:szCs w:val="24"/>
        </w:rPr>
        <w:t>Documentation and Record-Keeping:</w:t>
      </w:r>
      <w:r w:rsidRPr="00CD4398">
        <w:rPr>
          <w:sz w:val="24"/>
          <w:szCs w:val="24"/>
        </w:rPr>
        <w:br/>
        <w:t>End-to-end documentation of policies, procedures, incidents, and resolutions to ensure traceability and transparency during assessments.</w:t>
      </w:r>
    </w:p>
    <w:p w14:paraId="523458B6" w14:textId="77777777" w:rsidR="00CD4398" w:rsidRPr="00CD4398" w:rsidRDefault="00CD4398" w:rsidP="00CD4398">
      <w:pPr>
        <w:rPr>
          <w:b/>
          <w:bCs/>
          <w:sz w:val="24"/>
          <w:szCs w:val="24"/>
        </w:rPr>
      </w:pPr>
      <w:r w:rsidRPr="00CD4398">
        <w:rPr>
          <w:b/>
          <w:bCs/>
          <w:sz w:val="24"/>
          <w:szCs w:val="24"/>
        </w:rPr>
        <w:t>5. Continuous Compliance Improvement</w:t>
      </w:r>
    </w:p>
    <w:p w14:paraId="3D3C0F6B" w14:textId="77777777" w:rsidR="00CD4398" w:rsidRPr="00CD4398" w:rsidRDefault="00CD4398" w:rsidP="00CD4398">
      <w:pPr>
        <w:numPr>
          <w:ilvl w:val="0"/>
          <w:numId w:val="5"/>
        </w:numPr>
        <w:rPr>
          <w:sz w:val="24"/>
          <w:szCs w:val="24"/>
        </w:rPr>
      </w:pPr>
      <w:r w:rsidRPr="00CD4398">
        <w:rPr>
          <w:b/>
          <w:bCs/>
          <w:sz w:val="24"/>
          <w:szCs w:val="24"/>
        </w:rPr>
        <w:t>Training &amp; Awareness:</w:t>
      </w:r>
      <w:r w:rsidRPr="00CD4398">
        <w:rPr>
          <w:sz w:val="24"/>
          <w:szCs w:val="24"/>
        </w:rPr>
        <w:br/>
        <w:t>Regular compliance training for employees and stakeholders to stay updated on regulatory changes and ethical obligations.</w:t>
      </w:r>
    </w:p>
    <w:p w14:paraId="44283DE2" w14:textId="77777777" w:rsidR="00CD4398" w:rsidRPr="00CD4398" w:rsidRDefault="00CD4398" w:rsidP="00CD4398">
      <w:pPr>
        <w:numPr>
          <w:ilvl w:val="0"/>
          <w:numId w:val="5"/>
        </w:numPr>
        <w:rPr>
          <w:sz w:val="24"/>
          <w:szCs w:val="24"/>
        </w:rPr>
      </w:pPr>
      <w:r w:rsidRPr="00CD4398">
        <w:rPr>
          <w:b/>
          <w:bCs/>
          <w:sz w:val="24"/>
          <w:szCs w:val="24"/>
        </w:rPr>
        <w:t>Policy Reviews:</w:t>
      </w:r>
      <w:r w:rsidRPr="00CD4398">
        <w:rPr>
          <w:sz w:val="24"/>
          <w:szCs w:val="24"/>
        </w:rPr>
        <w:br/>
        <w:t>Annual review and revision of compliance policies to reflect evolving legal landscapes and operational shifts.</w:t>
      </w:r>
    </w:p>
    <w:p w14:paraId="56DAE1EA" w14:textId="77777777" w:rsidR="00CD4398" w:rsidRPr="00CD4398" w:rsidRDefault="00CD4398" w:rsidP="00CD4398">
      <w:pPr>
        <w:numPr>
          <w:ilvl w:val="0"/>
          <w:numId w:val="5"/>
        </w:numPr>
        <w:rPr>
          <w:sz w:val="24"/>
          <w:szCs w:val="24"/>
        </w:rPr>
      </w:pPr>
      <w:r w:rsidRPr="00CD4398">
        <w:rPr>
          <w:b/>
          <w:bCs/>
          <w:sz w:val="24"/>
          <w:szCs w:val="24"/>
        </w:rPr>
        <w:t>Technology Integration:</w:t>
      </w:r>
      <w:r w:rsidRPr="00CD4398">
        <w:rPr>
          <w:sz w:val="24"/>
          <w:szCs w:val="24"/>
        </w:rPr>
        <w:br/>
        <w:t>Adoption of RegTech solutions for intelligent compliance analytics, predictive risk identification, and streamlined reporting.</w:t>
      </w:r>
    </w:p>
    <w:sectPr w:rsidR="00CD4398" w:rsidRPr="00CD4398" w:rsidSect="00463A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347FAF"/>
    <w:multiLevelType w:val="multilevel"/>
    <w:tmpl w:val="60C6F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A043ED"/>
    <w:multiLevelType w:val="multilevel"/>
    <w:tmpl w:val="32E2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E9205B"/>
    <w:multiLevelType w:val="multilevel"/>
    <w:tmpl w:val="189E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AC7250"/>
    <w:multiLevelType w:val="multilevel"/>
    <w:tmpl w:val="730C2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827DE2"/>
    <w:multiLevelType w:val="multilevel"/>
    <w:tmpl w:val="3A20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284041">
    <w:abstractNumId w:val="4"/>
  </w:num>
  <w:num w:numId="2" w16cid:durableId="1802454309">
    <w:abstractNumId w:val="1"/>
  </w:num>
  <w:num w:numId="3" w16cid:durableId="691339403">
    <w:abstractNumId w:val="2"/>
  </w:num>
  <w:num w:numId="4" w16cid:durableId="377895147">
    <w:abstractNumId w:val="3"/>
  </w:num>
  <w:num w:numId="5" w16cid:durableId="1463764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398"/>
    <w:rsid w:val="00463AF6"/>
    <w:rsid w:val="004708BD"/>
    <w:rsid w:val="005C3B44"/>
    <w:rsid w:val="0083584B"/>
    <w:rsid w:val="00CD4398"/>
    <w:rsid w:val="00F50A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B2747"/>
  <w15:chartTrackingRefBased/>
  <w15:docId w15:val="{0A192C38-71AC-4698-9437-824C9CB82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3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43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43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43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43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43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43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43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43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3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43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43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43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43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43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43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43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4398"/>
    <w:rPr>
      <w:rFonts w:eastAsiaTheme="majorEastAsia" w:cstheme="majorBidi"/>
      <w:color w:val="272727" w:themeColor="text1" w:themeTint="D8"/>
    </w:rPr>
  </w:style>
  <w:style w:type="paragraph" w:styleId="Title">
    <w:name w:val="Title"/>
    <w:basedOn w:val="Normal"/>
    <w:next w:val="Normal"/>
    <w:link w:val="TitleChar"/>
    <w:uiPriority w:val="10"/>
    <w:qFormat/>
    <w:rsid w:val="00CD43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3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3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43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4398"/>
    <w:pPr>
      <w:spacing w:before="160"/>
      <w:jc w:val="center"/>
    </w:pPr>
    <w:rPr>
      <w:i/>
      <w:iCs/>
      <w:color w:val="404040" w:themeColor="text1" w:themeTint="BF"/>
    </w:rPr>
  </w:style>
  <w:style w:type="character" w:customStyle="1" w:styleId="QuoteChar">
    <w:name w:val="Quote Char"/>
    <w:basedOn w:val="DefaultParagraphFont"/>
    <w:link w:val="Quote"/>
    <w:uiPriority w:val="29"/>
    <w:rsid w:val="00CD4398"/>
    <w:rPr>
      <w:i/>
      <w:iCs/>
      <w:color w:val="404040" w:themeColor="text1" w:themeTint="BF"/>
    </w:rPr>
  </w:style>
  <w:style w:type="paragraph" w:styleId="ListParagraph">
    <w:name w:val="List Paragraph"/>
    <w:basedOn w:val="Normal"/>
    <w:uiPriority w:val="34"/>
    <w:qFormat/>
    <w:rsid w:val="00CD4398"/>
    <w:pPr>
      <w:ind w:left="720"/>
      <w:contextualSpacing/>
    </w:pPr>
  </w:style>
  <w:style w:type="character" w:styleId="IntenseEmphasis">
    <w:name w:val="Intense Emphasis"/>
    <w:basedOn w:val="DefaultParagraphFont"/>
    <w:uiPriority w:val="21"/>
    <w:qFormat/>
    <w:rsid w:val="00CD4398"/>
    <w:rPr>
      <w:i/>
      <w:iCs/>
      <w:color w:val="2F5496" w:themeColor="accent1" w:themeShade="BF"/>
    </w:rPr>
  </w:style>
  <w:style w:type="paragraph" w:styleId="IntenseQuote">
    <w:name w:val="Intense Quote"/>
    <w:basedOn w:val="Normal"/>
    <w:next w:val="Normal"/>
    <w:link w:val="IntenseQuoteChar"/>
    <w:uiPriority w:val="30"/>
    <w:qFormat/>
    <w:rsid w:val="00CD43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4398"/>
    <w:rPr>
      <w:i/>
      <w:iCs/>
      <w:color w:val="2F5496" w:themeColor="accent1" w:themeShade="BF"/>
    </w:rPr>
  </w:style>
  <w:style w:type="character" w:styleId="IntenseReference">
    <w:name w:val="Intense Reference"/>
    <w:basedOn w:val="DefaultParagraphFont"/>
    <w:uiPriority w:val="32"/>
    <w:qFormat/>
    <w:rsid w:val="00CD439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897206">
      <w:bodyDiv w:val="1"/>
      <w:marLeft w:val="0"/>
      <w:marRight w:val="0"/>
      <w:marTop w:val="0"/>
      <w:marBottom w:val="0"/>
      <w:divBdr>
        <w:top w:val="none" w:sz="0" w:space="0" w:color="auto"/>
        <w:left w:val="none" w:sz="0" w:space="0" w:color="auto"/>
        <w:bottom w:val="none" w:sz="0" w:space="0" w:color="auto"/>
        <w:right w:val="none" w:sz="0" w:space="0" w:color="auto"/>
      </w:divBdr>
    </w:div>
    <w:div w:id="211139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534</Words>
  <Characters>3048</Characters>
  <Application>Microsoft Office Word</Application>
  <DocSecurity>0</DocSecurity>
  <Lines>25</Lines>
  <Paragraphs>7</Paragraphs>
  <ScaleCrop>false</ScaleCrop>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 R</dc:creator>
  <cp:keywords/>
  <dc:description/>
  <cp:lastModifiedBy>Nithya R</cp:lastModifiedBy>
  <cp:revision>2</cp:revision>
  <dcterms:created xsi:type="dcterms:W3CDTF">2025-04-07T23:16:00Z</dcterms:created>
  <dcterms:modified xsi:type="dcterms:W3CDTF">2025-04-07T23:18:00Z</dcterms:modified>
</cp:coreProperties>
</file>