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196B5" w14:textId="77777777" w:rsidR="00AC79C4" w:rsidRPr="00AC79C4" w:rsidRDefault="00AC79C4" w:rsidP="00AC79C4">
      <w:pPr>
        <w:rPr>
          <w:b/>
          <w:bCs/>
        </w:rPr>
      </w:pPr>
      <w:r w:rsidRPr="00AC79C4">
        <w:rPr>
          <w:b/>
          <w:bCs/>
        </w:rPr>
        <w:t>Backup and Recovery Strategy</w:t>
      </w:r>
    </w:p>
    <w:p w14:paraId="01BF6DC8" w14:textId="77777777" w:rsidR="00AC79C4" w:rsidRPr="00AC79C4" w:rsidRDefault="00AC79C4" w:rsidP="00AC79C4">
      <w:pPr>
        <w:rPr>
          <w:b/>
          <w:bCs/>
        </w:rPr>
      </w:pPr>
      <w:r w:rsidRPr="00AC79C4">
        <w:rPr>
          <w:b/>
          <w:bCs/>
        </w:rPr>
        <w:t>1. Objective</w:t>
      </w:r>
    </w:p>
    <w:p w14:paraId="27E344D6" w14:textId="77777777" w:rsidR="00AC79C4" w:rsidRPr="00AC79C4" w:rsidRDefault="00AC79C4" w:rsidP="00AC79C4">
      <w:r w:rsidRPr="00AC79C4">
        <w:t>This document defines the backup and disaster recovery (DR) mechanisms designed to ensure business continuity, data availability, and rapid recovery in the event of system failure, cyber incidents, or data corruption.</w:t>
      </w:r>
    </w:p>
    <w:p w14:paraId="54D47B8B" w14:textId="77777777" w:rsidR="00AC79C4" w:rsidRPr="00AC79C4" w:rsidRDefault="00AC79C4" w:rsidP="00AC79C4">
      <w:pPr>
        <w:rPr>
          <w:b/>
          <w:bCs/>
        </w:rPr>
      </w:pPr>
      <w:r w:rsidRPr="00AC79C4">
        <w:rPr>
          <w:b/>
          <w:bCs/>
        </w:rPr>
        <w:t>2. Backup Strategy</w:t>
      </w:r>
    </w:p>
    <w:p w14:paraId="76945E02" w14:textId="77777777" w:rsidR="00AC79C4" w:rsidRPr="00AC79C4" w:rsidRDefault="00AC79C4" w:rsidP="00AC79C4">
      <w:r w:rsidRPr="00AC79C4">
        <w:t>A multi-tiered backup architecture is deployed to ensure both short-term and long-term data recovery capabilities across all critical systems.</w:t>
      </w:r>
    </w:p>
    <w:p w14:paraId="34E75CC0" w14:textId="77777777" w:rsidR="00AC79C4" w:rsidRPr="00AC79C4" w:rsidRDefault="00AC79C4" w:rsidP="00AC79C4">
      <w:pPr>
        <w:rPr>
          <w:b/>
          <w:bCs/>
        </w:rPr>
      </w:pPr>
      <w:r w:rsidRPr="00AC79C4">
        <w:rPr>
          <w:b/>
          <w:bCs/>
        </w:rPr>
        <w:t>2.1. Backup Types and Frequency</w:t>
      </w:r>
    </w:p>
    <w:tbl>
      <w:tblPr>
        <w:tblW w:w="0" w:type="auto"/>
        <w:tblCellSpacing w:w="15" w:type="dxa"/>
        <w:tblLook w:val="04A0" w:firstRow="1" w:lastRow="0" w:firstColumn="1" w:lastColumn="0" w:noHBand="0" w:noVBand="1"/>
      </w:tblPr>
      <w:tblGrid>
        <w:gridCol w:w="2205"/>
        <w:gridCol w:w="4504"/>
        <w:gridCol w:w="1373"/>
      </w:tblGrid>
      <w:tr w:rsidR="00AC79C4" w:rsidRPr="00AC79C4" w14:paraId="6E9A2FFB" w14:textId="77777777" w:rsidTr="00AC79C4">
        <w:trPr>
          <w:tblHeader/>
          <w:tblCellSpacing w:w="15" w:type="dxa"/>
        </w:trPr>
        <w:tc>
          <w:tcPr>
            <w:tcW w:w="0" w:type="auto"/>
            <w:tcMar>
              <w:top w:w="15" w:type="dxa"/>
              <w:left w:w="15" w:type="dxa"/>
              <w:bottom w:w="15" w:type="dxa"/>
              <w:right w:w="15" w:type="dxa"/>
            </w:tcMar>
            <w:vAlign w:val="center"/>
            <w:hideMark/>
          </w:tcPr>
          <w:p w14:paraId="2ADE0C7D" w14:textId="77777777" w:rsidR="00AC79C4" w:rsidRPr="00AC79C4" w:rsidRDefault="00AC79C4" w:rsidP="00AC79C4">
            <w:pPr>
              <w:rPr>
                <w:b/>
                <w:bCs/>
              </w:rPr>
            </w:pPr>
            <w:r w:rsidRPr="00AC79C4">
              <w:rPr>
                <w:b/>
                <w:bCs/>
              </w:rPr>
              <w:t>Backup Type</w:t>
            </w:r>
          </w:p>
        </w:tc>
        <w:tc>
          <w:tcPr>
            <w:tcW w:w="0" w:type="auto"/>
            <w:tcMar>
              <w:top w:w="15" w:type="dxa"/>
              <w:left w:w="15" w:type="dxa"/>
              <w:bottom w:w="15" w:type="dxa"/>
              <w:right w:w="15" w:type="dxa"/>
            </w:tcMar>
            <w:vAlign w:val="center"/>
            <w:hideMark/>
          </w:tcPr>
          <w:p w14:paraId="2391EFFA" w14:textId="77777777" w:rsidR="00AC79C4" w:rsidRPr="00AC79C4" w:rsidRDefault="00AC79C4" w:rsidP="00AC79C4">
            <w:pPr>
              <w:rPr>
                <w:b/>
                <w:bCs/>
              </w:rPr>
            </w:pPr>
            <w:r w:rsidRPr="00AC79C4">
              <w:rPr>
                <w:b/>
                <w:bCs/>
              </w:rPr>
              <w:t>Description</w:t>
            </w:r>
          </w:p>
        </w:tc>
        <w:tc>
          <w:tcPr>
            <w:tcW w:w="0" w:type="auto"/>
            <w:tcMar>
              <w:top w:w="15" w:type="dxa"/>
              <w:left w:w="15" w:type="dxa"/>
              <w:bottom w:w="15" w:type="dxa"/>
              <w:right w:w="15" w:type="dxa"/>
            </w:tcMar>
            <w:vAlign w:val="center"/>
            <w:hideMark/>
          </w:tcPr>
          <w:p w14:paraId="30B0181F" w14:textId="77777777" w:rsidR="00AC79C4" w:rsidRPr="00AC79C4" w:rsidRDefault="00AC79C4" w:rsidP="00AC79C4">
            <w:pPr>
              <w:rPr>
                <w:b/>
                <w:bCs/>
              </w:rPr>
            </w:pPr>
            <w:r w:rsidRPr="00AC79C4">
              <w:rPr>
                <w:b/>
                <w:bCs/>
              </w:rPr>
              <w:t>Frequency</w:t>
            </w:r>
          </w:p>
        </w:tc>
      </w:tr>
      <w:tr w:rsidR="00AC79C4" w:rsidRPr="00AC79C4" w14:paraId="513D3EC2" w14:textId="77777777" w:rsidTr="00AC79C4">
        <w:trPr>
          <w:tblCellSpacing w:w="15" w:type="dxa"/>
        </w:trPr>
        <w:tc>
          <w:tcPr>
            <w:tcW w:w="0" w:type="auto"/>
            <w:tcMar>
              <w:top w:w="15" w:type="dxa"/>
              <w:left w:w="15" w:type="dxa"/>
              <w:bottom w:w="15" w:type="dxa"/>
              <w:right w:w="15" w:type="dxa"/>
            </w:tcMar>
            <w:vAlign w:val="center"/>
            <w:hideMark/>
          </w:tcPr>
          <w:p w14:paraId="2C2F9E68" w14:textId="77777777" w:rsidR="00AC79C4" w:rsidRPr="00AC79C4" w:rsidRDefault="00AC79C4" w:rsidP="00AC79C4">
            <w:r w:rsidRPr="00AC79C4">
              <w:rPr>
                <w:b/>
                <w:bCs/>
              </w:rPr>
              <w:t>Full Backup</w:t>
            </w:r>
          </w:p>
        </w:tc>
        <w:tc>
          <w:tcPr>
            <w:tcW w:w="0" w:type="auto"/>
            <w:tcMar>
              <w:top w:w="15" w:type="dxa"/>
              <w:left w:w="15" w:type="dxa"/>
              <w:bottom w:w="15" w:type="dxa"/>
              <w:right w:w="15" w:type="dxa"/>
            </w:tcMar>
            <w:vAlign w:val="center"/>
            <w:hideMark/>
          </w:tcPr>
          <w:p w14:paraId="39DCB6C0" w14:textId="77777777" w:rsidR="00AC79C4" w:rsidRPr="00AC79C4" w:rsidRDefault="00AC79C4" w:rsidP="00AC79C4">
            <w:r w:rsidRPr="00AC79C4">
              <w:t>Complete backup of all data and systems</w:t>
            </w:r>
          </w:p>
        </w:tc>
        <w:tc>
          <w:tcPr>
            <w:tcW w:w="0" w:type="auto"/>
            <w:tcMar>
              <w:top w:w="15" w:type="dxa"/>
              <w:left w:w="15" w:type="dxa"/>
              <w:bottom w:w="15" w:type="dxa"/>
              <w:right w:w="15" w:type="dxa"/>
            </w:tcMar>
            <w:vAlign w:val="center"/>
            <w:hideMark/>
          </w:tcPr>
          <w:p w14:paraId="635BBBB7" w14:textId="77777777" w:rsidR="00AC79C4" w:rsidRPr="00AC79C4" w:rsidRDefault="00AC79C4" w:rsidP="00AC79C4">
            <w:r w:rsidRPr="00AC79C4">
              <w:t>Weekly</w:t>
            </w:r>
          </w:p>
        </w:tc>
      </w:tr>
      <w:tr w:rsidR="00AC79C4" w:rsidRPr="00AC79C4" w14:paraId="5A2AD549" w14:textId="77777777" w:rsidTr="00AC79C4">
        <w:trPr>
          <w:tblCellSpacing w:w="15" w:type="dxa"/>
        </w:trPr>
        <w:tc>
          <w:tcPr>
            <w:tcW w:w="0" w:type="auto"/>
            <w:tcMar>
              <w:top w:w="15" w:type="dxa"/>
              <w:left w:w="15" w:type="dxa"/>
              <w:bottom w:w="15" w:type="dxa"/>
              <w:right w:w="15" w:type="dxa"/>
            </w:tcMar>
            <w:vAlign w:val="center"/>
            <w:hideMark/>
          </w:tcPr>
          <w:p w14:paraId="359D8C2B" w14:textId="77777777" w:rsidR="00AC79C4" w:rsidRPr="00AC79C4" w:rsidRDefault="00AC79C4" w:rsidP="00AC79C4">
            <w:r w:rsidRPr="00AC79C4">
              <w:rPr>
                <w:b/>
                <w:bCs/>
              </w:rPr>
              <w:t>Differential Backup</w:t>
            </w:r>
          </w:p>
        </w:tc>
        <w:tc>
          <w:tcPr>
            <w:tcW w:w="0" w:type="auto"/>
            <w:tcMar>
              <w:top w:w="15" w:type="dxa"/>
              <w:left w:w="15" w:type="dxa"/>
              <w:bottom w:w="15" w:type="dxa"/>
              <w:right w:w="15" w:type="dxa"/>
            </w:tcMar>
            <w:vAlign w:val="center"/>
            <w:hideMark/>
          </w:tcPr>
          <w:p w14:paraId="7817127A" w14:textId="77777777" w:rsidR="00AC79C4" w:rsidRPr="00AC79C4" w:rsidRDefault="00AC79C4" w:rsidP="00AC79C4">
            <w:r w:rsidRPr="00AC79C4">
              <w:t>Changes since the last full backup</w:t>
            </w:r>
          </w:p>
        </w:tc>
        <w:tc>
          <w:tcPr>
            <w:tcW w:w="0" w:type="auto"/>
            <w:tcMar>
              <w:top w:w="15" w:type="dxa"/>
              <w:left w:w="15" w:type="dxa"/>
              <w:bottom w:w="15" w:type="dxa"/>
              <w:right w:w="15" w:type="dxa"/>
            </w:tcMar>
            <w:vAlign w:val="center"/>
            <w:hideMark/>
          </w:tcPr>
          <w:p w14:paraId="282CCFC1" w14:textId="77777777" w:rsidR="00AC79C4" w:rsidRPr="00AC79C4" w:rsidRDefault="00AC79C4" w:rsidP="00AC79C4">
            <w:r w:rsidRPr="00AC79C4">
              <w:t>Daily</w:t>
            </w:r>
          </w:p>
        </w:tc>
      </w:tr>
      <w:tr w:rsidR="00AC79C4" w:rsidRPr="00AC79C4" w14:paraId="2D034643" w14:textId="77777777" w:rsidTr="00AC79C4">
        <w:trPr>
          <w:tblCellSpacing w:w="15" w:type="dxa"/>
        </w:trPr>
        <w:tc>
          <w:tcPr>
            <w:tcW w:w="0" w:type="auto"/>
            <w:tcMar>
              <w:top w:w="15" w:type="dxa"/>
              <w:left w:w="15" w:type="dxa"/>
              <w:bottom w:w="15" w:type="dxa"/>
              <w:right w:w="15" w:type="dxa"/>
            </w:tcMar>
            <w:vAlign w:val="center"/>
            <w:hideMark/>
          </w:tcPr>
          <w:p w14:paraId="384537DF" w14:textId="77777777" w:rsidR="00AC79C4" w:rsidRPr="00AC79C4" w:rsidRDefault="00AC79C4" w:rsidP="00AC79C4">
            <w:r w:rsidRPr="00AC79C4">
              <w:rPr>
                <w:b/>
                <w:bCs/>
              </w:rPr>
              <w:t>Transaction Log Backup</w:t>
            </w:r>
          </w:p>
        </w:tc>
        <w:tc>
          <w:tcPr>
            <w:tcW w:w="0" w:type="auto"/>
            <w:tcMar>
              <w:top w:w="15" w:type="dxa"/>
              <w:left w:w="15" w:type="dxa"/>
              <w:bottom w:w="15" w:type="dxa"/>
              <w:right w:w="15" w:type="dxa"/>
            </w:tcMar>
            <w:vAlign w:val="center"/>
            <w:hideMark/>
          </w:tcPr>
          <w:p w14:paraId="527D447F" w14:textId="77777777" w:rsidR="00AC79C4" w:rsidRPr="00AC79C4" w:rsidRDefault="00AC79C4" w:rsidP="00AC79C4">
            <w:r w:rsidRPr="00AC79C4">
              <w:t>Captures database transaction logs</w:t>
            </w:r>
          </w:p>
        </w:tc>
        <w:tc>
          <w:tcPr>
            <w:tcW w:w="0" w:type="auto"/>
            <w:tcMar>
              <w:top w:w="15" w:type="dxa"/>
              <w:left w:w="15" w:type="dxa"/>
              <w:bottom w:w="15" w:type="dxa"/>
              <w:right w:w="15" w:type="dxa"/>
            </w:tcMar>
            <w:vAlign w:val="center"/>
            <w:hideMark/>
          </w:tcPr>
          <w:p w14:paraId="2AB997DA" w14:textId="77777777" w:rsidR="00AC79C4" w:rsidRPr="00AC79C4" w:rsidRDefault="00AC79C4" w:rsidP="00AC79C4">
            <w:r w:rsidRPr="00AC79C4">
              <w:t>Every 4 hours</w:t>
            </w:r>
          </w:p>
        </w:tc>
      </w:tr>
      <w:tr w:rsidR="00AC79C4" w:rsidRPr="00AC79C4" w14:paraId="313ACDFC" w14:textId="77777777" w:rsidTr="00AC79C4">
        <w:trPr>
          <w:tblCellSpacing w:w="15" w:type="dxa"/>
        </w:trPr>
        <w:tc>
          <w:tcPr>
            <w:tcW w:w="0" w:type="auto"/>
            <w:tcMar>
              <w:top w:w="15" w:type="dxa"/>
              <w:left w:w="15" w:type="dxa"/>
              <w:bottom w:w="15" w:type="dxa"/>
              <w:right w:w="15" w:type="dxa"/>
            </w:tcMar>
            <w:vAlign w:val="center"/>
            <w:hideMark/>
          </w:tcPr>
          <w:p w14:paraId="71AB376D" w14:textId="77777777" w:rsidR="00AC79C4" w:rsidRPr="00AC79C4" w:rsidRDefault="00AC79C4" w:rsidP="00AC79C4">
            <w:r w:rsidRPr="00AC79C4">
              <w:rPr>
                <w:b/>
                <w:bCs/>
              </w:rPr>
              <w:t>Real-Time Replication</w:t>
            </w:r>
          </w:p>
        </w:tc>
        <w:tc>
          <w:tcPr>
            <w:tcW w:w="0" w:type="auto"/>
            <w:tcMar>
              <w:top w:w="15" w:type="dxa"/>
              <w:left w:w="15" w:type="dxa"/>
              <w:bottom w:w="15" w:type="dxa"/>
              <w:right w:w="15" w:type="dxa"/>
            </w:tcMar>
            <w:vAlign w:val="center"/>
            <w:hideMark/>
          </w:tcPr>
          <w:p w14:paraId="507A4E8D" w14:textId="77777777" w:rsidR="00AC79C4" w:rsidRPr="00AC79C4" w:rsidRDefault="00AC79C4" w:rsidP="00AC79C4">
            <w:r w:rsidRPr="00AC79C4">
              <w:t xml:space="preserve">Continuous replication to a secondary data </w:t>
            </w:r>
            <w:proofErr w:type="spellStart"/>
            <w:r w:rsidRPr="00AC79C4">
              <w:t>center</w:t>
            </w:r>
            <w:proofErr w:type="spellEnd"/>
          </w:p>
        </w:tc>
        <w:tc>
          <w:tcPr>
            <w:tcW w:w="0" w:type="auto"/>
            <w:tcMar>
              <w:top w:w="15" w:type="dxa"/>
              <w:left w:w="15" w:type="dxa"/>
              <w:bottom w:w="15" w:type="dxa"/>
              <w:right w:w="15" w:type="dxa"/>
            </w:tcMar>
            <w:vAlign w:val="center"/>
            <w:hideMark/>
          </w:tcPr>
          <w:p w14:paraId="7F245E18" w14:textId="77777777" w:rsidR="00AC79C4" w:rsidRPr="00AC79C4" w:rsidRDefault="00AC79C4" w:rsidP="00AC79C4">
            <w:r w:rsidRPr="00AC79C4">
              <w:t>Near real-time</w:t>
            </w:r>
          </w:p>
        </w:tc>
      </w:tr>
    </w:tbl>
    <w:p w14:paraId="37FCFB6A" w14:textId="77777777" w:rsidR="00AC79C4" w:rsidRPr="00AC79C4" w:rsidRDefault="00AC79C4" w:rsidP="00AC79C4">
      <w:r w:rsidRPr="00AC79C4">
        <w:t>This hybrid approach balances redundancy, recovery speed, and storage efficiency.</w:t>
      </w:r>
    </w:p>
    <w:p w14:paraId="7F45D431" w14:textId="77777777" w:rsidR="00AC79C4" w:rsidRPr="00AC79C4" w:rsidRDefault="00AC79C4" w:rsidP="00AC79C4">
      <w:pPr>
        <w:rPr>
          <w:b/>
          <w:bCs/>
        </w:rPr>
      </w:pPr>
      <w:r w:rsidRPr="00AC79C4">
        <w:rPr>
          <w:b/>
          <w:bCs/>
        </w:rPr>
        <w:t>3. Recovery Objectives</w:t>
      </w:r>
    </w:p>
    <w:p w14:paraId="34EA4EF7" w14:textId="77777777" w:rsidR="00AC79C4" w:rsidRPr="00AC79C4" w:rsidRDefault="00AC79C4" w:rsidP="00AC79C4">
      <w:r w:rsidRPr="00AC79C4">
        <w:t>Defined to minimize business disruption and data loss:</w:t>
      </w:r>
    </w:p>
    <w:p w14:paraId="1BE43A9E" w14:textId="77777777" w:rsidR="00AC79C4" w:rsidRPr="00AC79C4" w:rsidRDefault="00AC79C4" w:rsidP="00AC79C4">
      <w:pPr>
        <w:numPr>
          <w:ilvl w:val="0"/>
          <w:numId w:val="1"/>
        </w:numPr>
      </w:pPr>
      <w:r w:rsidRPr="00AC79C4">
        <w:rPr>
          <w:b/>
          <w:bCs/>
        </w:rPr>
        <w:t>Recovery Time Objective (RTO):</w:t>
      </w:r>
      <w:r w:rsidRPr="00AC79C4">
        <w:br/>
        <w:t xml:space="preserve">Maximum allowable downtime after an incident — </w:t>
      </w:r>
      <w:r w:rsidRPr="00AC79C4">
        <w:rPr>
          <w:b/>
          <w:bCs/>
        </w:rPr>
        <w:t>2 hours</w:t>
      </w:r>
    </w:p>
    <w:p w14:paraId="1DA96D8F" w14:textId="77777777" w:rsidR="00AC79C4" w:rsidRPr="00AC79C4" w:rsidRDefault="00AC79C4" w:rsidP="00AC79C4">
      <w:pPr>
        <w:numPr>
          <w:ilvl w:val="0"/>
          <w:numId w:val="1"/>
        </w:numPr>
      </w:pPr>
      <w:r w:rsidRPr="00AC79C4">
        <w:rPr>
          <w:b/>
          <w:bCs/>
        </w:rPr>
        <w:t>Recovery Point Objective (RPO):</w:t>
      </w:r>
      <w:r w:rsidRPr="00AC79C4">
        <w:br/>
        <w:t xml:space="preserve">Maximum acceptable data loss measured in time — </w:t>
      </w:r>
      <w:r w:rsidRPr="00AC79C4">
        <w:rPr>
          <w:b/>
          <w:bCs/>
        </w:rPr>
        <w:t>15 minutes</w:t>
      </w:r>
    </w:p>
    <w:p w14:paraId="07DCB63C" w14:textId="77777777" w:rsidR="00AC79C4" w:rsidRPr="00AC79C4" w:rsidRDefault="00AC79C4" w:rsidP="00AC79C4">
      <w:pPr>
        <w:rPr>
          <w:b/>
          <w:bCs/>
        </w:rPr>
      </w:pPr>
      <w:r w:rsidRPr="00AC79C4">
        <w:rPr>
          <w:b/>
          <w:bCs/>
        </w:rPr>
        <w:t>4. Backup Storage Locations</w:t>
      </w:r>
    </w:p>
    <w:p w14:paraId="3947C083" w14:textId="77777777" w:rsidR="00AC79C4" w:rsidRPr="00AC79C4" w:rsidRDefault="00AC79C4" w:rsidP="00AC79C4">
      <w:r w:rsidRPr="00AC79C4">
        <w:t>A resilient, geo-distributed backup storage framework is utilized to ensure high availability and fault tolerance.</w:t>
      </w:r>
    </w:p>
    <w:p w14:paraId="10B13B95" w14:textId="77777777" w:rsidR="00AC79C4" w:rsidRPr="00AC79C4" w:rsidRDefault="00AC79C4" w:rsidP="00AC79C4">
      <w:pPr>
        <w:numPr>
          <w:ilvl w:val="0"/>
          <w:numId w:val="2"/>
        </w:numPr>
      </w:pPr>
      <w:r w:rsidRPr="00AC79C4">
        <w:rPr>
          <w:b/>
          <w:bCs/>
        </w:rPr>
        <w:t xml:space="preserve">Primary Data </w:t>
      </w:r>
      <w:proofErr w:type="spellStart"/>
      <w:r w:rsidRPr="00AC79C4">
        <w:rPr>
          <w:b/>
          <w:bCs/>
        </w:rPr>
        <w:t>Center</w:t>
      </w:r>
      <w:proofErr w:type="spellEnd"/>
      <w:r w:rsidRPr="00AC79C4">
        <w:rPr>
          <w:b/>
          <w:bCs/>
        </w:rPr>
        <w:t>:</w:t>
      </w:r>
      <w:r w:rsidRPr="00AC79C4">
        <w:br/>
        <w:t>On-premises backup infrastructure for rapid recovery in local incidents.</w:t>
      </w:r>
    </w:p>
    <w:p w14:paraId="7A477C5F" w14:textId="77777777" w:rsidR="00AC79C4" w:rsidRPr="00AC79C4" w:rsidRDefault="00AC79C4" w:rsidP="00AC79C4">
      <w:pPr>
        <w:numPr>
          <w:ilvl w:val="0"/>
          <w:numId w:val="2"/>
        </w:numPr>
      </w:pPr>
      <w:r w:rsidRPr="00AC79C4">
        <w:rPr>
          <w:b/>
          <w:bCs/>
        </w:rPr>
        <w:t xml:space="preserve">Geographically Dispersed Secondary Data </w:t>
      </w:r>
      <w:proofErr w:type="spellStart"/>
      <w:r w:rsidRPr="00AC79C4">
        <w:rPr>
          <w:b/>
          <w:bCs/>
        </w:rPr>
        <w:t>Center</w:t>
      </w:r>
      <w:proofErr w:type="spellEnd"/>
      <w:r w:rsidRPr="00AC79C4">
        <w:rPr>
          <w:b/>
          <w:bCs/>
        </w:rPr>
        <w:t>:</w:t>
      </w:r>
      <w:r w:rsidRPr="00AC79C4">
        <w:br/>
        <w:t>Acts as a failover site for disaster recovery, with near real-time data replication.</w:t>
      </w:r>
    </w:p>
    <w:p w14:paraId="237B4006" w14:textId="77777777" w:rsidR="00AC79C4" w:rsidRPr="00AC79C4" w:rsidRDefault="00AC79C4" w:rsidP="00AC79C4">
      <w:pPr>
        <w:numPr>
          <w:ilvl w:val="0"/>
          <w:numId w:val="2"/>
        </w:numPr>
      </w:pPr>
      <w:r w:rsidRPr="00AC79C4">
        <w:rPr>
          <w:b/>
          <w:bCs/>
        </w:rPr>
        <w:t>Cloud Backup:</w:t>
      </w:r>
      <w:r w:rsidRPr="00AC79C4">
        <w:br/>
        <w:t xml:space="preserve">Encrypted cloud backups using </w:t>
      </w:r>
      <w:r w:rsidRPr="00AC79C4">
        <w:rPr>
          <w:b/>
          <w:bCs/>
        </w:rPr>
        <w:t>military-grade AES-256 encryption</w:t>
      </w:r>
      <w:r w:rsidRPr="00AC79C4">
        <w:t xml:space="preserve"> for offsite redundancy and scalability.</w:t>
      </w:r>
    </w:p>
    <w:p w14:paraId="4A53F53B" w14:textId="77777777" w:rsidR="00AC79C4" w:rsidRPr="00AC79C4" w:rsidRDefault="00AC79C4" w:rsidP="00AC79C4">
      <w:pPr>
        <w:numPr>
          <w:ilvl w:val="0"/>
          <w:numId w:val="2"/>
        </w:numPr>
      </w:pPr>
      <w:r w:rsidRPr="00AC79C4">
        <w:rPr>
          <w:b/>
          <w:bCs/>
        </w:rPr>
        <w:lastRenderedPageBreak/>
        <w:t>Offline Tape Backups:</w:t>
      </w:r>
      <w:r w:rsidRPr="00AC79C4">
        <w:br/>
        <w:t>Air-gapped, WORM (Write Once, Read Many) tape archives for critical, long-term retention and ransomware resistance.</w:t>
      </w:r>
    </w:p>
    <w:p w14:paraId="11F3A41D" w14:textId="77777777" w:rsidR="00AC79C4" w:rsidRPr="00AC79C4" w:rsidRDefault="00AC79C4" w:rsidP="00AC79C4">
      <w:pPr>
        <w:rPr>
          <w:b/>
          <w:bCs/>
        </w:rPr>
      </w:pPr>
      <w:r w:rsidRPr="00AC79C4">
        <w:rPr>
          <w:b/>
          <w:bCs/>
        </w:rPr>
        <w:t>5. Recovery Procedure</w:t>
      </w:r>
    </w:p>
    <w:p w14:paraId="4AEBB18B" w14:textId="77777777" w:rsidR="00AC79C4" w:rsidRPr="00AC79C4" w:rsidRDefault="00AC79C4" w:rsidP="00AC79C4">
      <w:r w:rsidRPr="00AC79C4">
        <w:t>A standardized recovery protocol ensures structured, secure, and auditable restoration of systems.</w:t>
      </w:r>
    </w:p>
    <w:p w14:paraId="4F070680" w14:textId="77777777" w:rsidR="00AC79C4" w:rsidRPr="00AC79C4" w:rsidRDefault="00AC79C4" w:rsidP="00AC79C4">
      <w:pPr>
        <w:numPr>
          <w:ilvl w:val="0"/>
          <w:numId w:val="3"/>
        </w:numPr>
      </w:pPr>
      <w:r w:rsidRPr="00AC79C4">
        <w:rPr>
          <w:b/>
          <w:bCs/>
        </w:rPr>
        <w:t>Immediate System Isolation:</w:t>
      </w:r>
      <w:r w:rsidRPr="00AC79C4">
        <w:br/>
        <w:t>Disconnect affected systems from the network to prevent spread of damage or malware.</w:t>
      </w:r>
    </w:p>
    <w:p w14:paraId="5B9130A5" w14:textId="77777777" w:rsidR="00AC79C4" w:rsidRPr="00AC79C4" w:rsidRDefault="00AC79C4" w:rsidP="00AC79C4">
      <w:pPr>
        <w:numPr>
          <w:ilvl w:val="0"/>
          <w:numId w:val="3"/>
        </w:numPr>
      </w:pPr>
      <w:r w:rsidRPr="00AC79C4">
        <w:rPr>
          <w:b/>
          <w:bCs/>
        </w:rPr>
        <w:t>Comprehensive Damage Assessment:</w:t>
      </w:r>
      <w:r w:rsidRPr="00AC79C4">
        <w:br/>
        <w:t>Identify affected components, scope of data loss/corruption, and root cause.</w:t>
      </w:r>
    </w:p>
    <w:p w14:paraId="6C04031B" w14:textId="77777777" w:rsidR="00AC79C4" w:rsidRPr="00AC79C4" w:rsidRDefault="00AC79C4" w:rsidP="00AC79C4">
      <w:pPr>
        <w:numPr>
          <w:ilvl w:val="0"/>
          <w:numId w:val="3"/>
        </w:numPr>
      </w:pPr>
      <w:r w:rsidRPr="00AC79C4">
        <w:rPr>
          <w:b/>
          <w:bCs/>
        </w:rPr>
        <w:t>Backup Restoration:</w:t>
      </w:r>
      <w:r w:rsidRPr="00AC79C4">
        <w:br/>
        <w:t xml:space="preserve">Restore systems from the </w:t>
      </w:r>
      <w:r w:rsidRPr="00AC79C4">
        <w:rPr>
          <w:b/>
          <w:bCs/>
        </w:rPr>
        <w:t>most recent verified clean backup</w:t>
      </w:r>
      <w:r w:rsidRPr="00AC79C4">
        <w:t xml:space="preserve"> based on RPO/RTO targets.</w:t>
      </w:r>
    </w:p>
    <w:p w14:paraId="70F8027D" w14:textId="77777777" w:rsidR="00AC79C4" w:rsidRPr="00AC79C4" w:rsidRDefault="00AC79C4" w:rsidP="00AC79C4">
      <w:pPr>
        <w:numPr>
          <w:ilvl w:val="0"/>
          <w:numId w:val="3"/>
        </w:numPr>
      </w:pPr>
      <w:r w:rsidRPr="00AC79C4">
        <w:rPr>
          <w:b/>
          <w:bCs/>
        </w:rPr>
        <w:t>Data Integrity Verification:</w:t>
      </w:r>
      <w:r w:rsidRPr="00AC79C4">
        <w:br/>
        <w:t>Perform checksum comparisons and validation tests to ensure restored data accuracy and completeness.</w:t>
      </w:r>
    </w:p>
    <w:p w14:paraId="758473F6" w14:textId="77777777" w:rsidR="00AC79C4" w:rsidRPr="00AC79C4" w:rsidRDefault="00AC79C4" w:rsidP="00AC79C4">
      <w:pPr>
        <w:numPr>
          <w:ilvl w:val="0"/>
          <w:numId w:val="3"/>
        </w:numPr>
      </w:pPr>
      <w:r w:rsidRPr="00AC79C4">
        <w:rPr>
          <w:b/>
          <w:bCs/>
        </w:rPr>
        <w:t>Gradual System Restoration:</w:t>
      </w:r>
      <w:r w:rsidRPr="00AC79C4">
        <w:br/>
        <w:t>Bring systems online in a phased manner, prioritizing critical services and verifying dependencies.</w:t>
      </w:r>
    </w:p>
    <w:p w14:paraId="75619CA0" w14:textId="77777777" w:rsidR="00AC79C4" w:rsidRPr="00AC79C4" w:rsidRDefault="00AC79C4" w:rsidP="00AC79C4">
      <w:pPr>
        <w:numPr>
          <w:ilvl w:val="0"/>
          <w:numId w:val="3"/>
        </w:numPr>
      </w:pPr>
      <w:r w:rsidRPr="00AC79C4">
        <w:rPr>
          <w:b/>
          <w:bCs/>
        </w:rPr>
        <w:t>Post-Incident Analysis:</w:t>
      </w:r>
      <w:r w:rsidRPr="00AC79C4">
        <w:br/>
        <w:t>Conduct forensic investigation, update the incident register, and implement corrective actions to prevent recurrence.</w:t>
      </w:r>
    </w:p>
    <w:p w14:paraId="3CC2947F" w14:textId="77777777" w:rsidR="00AC79C4" w:rsidRPr="00AC79C4" w:rsidRDefault="00AC79C4" w:rsidP="00AC79C4">
      <w:pPr>
        <w:rPr>
          <w:b/>
          <w:bCs/>
        </w:rPr>
      </w:pPr>
      <w:r w:rsidRPr="00AC79C4">
        <w:rPr>
          <w:b/>
          <w:bCs/>
        </w:rPr>
        <w:t>6. Additional Safeguards</w:t>
      </w:r>
    </w:p>
    <w:p w14:paraId="0FC7950C" w14:textId="77777777" w:rsidR="00AC79C4" w:rsidRPr="00AC79C4" w:rsidRDefault="00AC79C4" w:rsidP="00AC79C4">
      <w:pPr>
        <w:numPr>
          <w:ilvl w:val="0"/>
          <w:numId w:val="4"/>
        </w:numPr>
      </w:pPr>
      <w:r w:rsidRPr="00AC79C4">
        <w:rPr>
          <w:b/>
          <w:bCs/>
        </w:rPr>
        <w:t>Automated Backup Monitoring:</w:t>
      </w:r>
      <w:r w:rsidRPr="00AC79C4">
        <w:br/>
        <w:t>Real-time alerts and daily health reports on backup status and failures.</w:t>
      </w:r>
    </w:p>
    <w:p w14:paraId="76AD96B7" w14:textId="77777777" w:rsidR="00AC79C4" w:rsidRPr="00AC79C4" w:rsidRDefault="00AC79C4" w:rsidP="00AC79C4">
      <w:pPr>
        <w:numPr>
          <w:ilvl w:val="0"/>
          <w:numId w:val="4"/>
        </w:numPr>
      </w:pPr>
      <w:r w:rsidRPr="00AC79C4">
        <w:rPr>
          <w:b/>
          <w:bCs/>
        </w:rPr>
        <w:t>Version Control:</w:t>
      </w:r>
      <w:r w:rsidRPr="00AC79C4">
        <w:br/>
        <w:t>Maintain multiple versions of critical datasets to mitigate accidental or malicious data changes.</w:t>
      </w:r>
    </w:p>
    <w:p w14:paraId="7C7BF4DF" w14:textId="77777777" w:rsidR="00AC79C4" w:rsidRPr="00AC79C4" w:rsidRDefault="00AC79C4" w:rsidP="00AC79C4">
      <w:pPr>
        <w:numPr>
          <w:ilvl w:val="0"/>
          <w:numId w:val="4"/>
        </w:numPr>
      </w:pPr>
      <w:r w:rsidRPr="00AC79C4">
        <w:rPr>
          <w:b/>
          <w:bCs/>
        </w:rPr>
        <w:t>Immutable Backups:</w:t>
      </w:r>
      <w:r w:rsidRPr="00AC79C4">
        <w:br/>
        <w:t>Protect against ransomware by enabling immutability for selected backup snapshots.</w:t>
      </w:r>
    </w:p>
    <w:p w14:paraId="3A6DFBBC" w14:textId="77777777" w:rsidR="00AC79C4" w:rsidRPr="00AC79C4" w:rsidRDefault="00AC79C4" w:rsidP="00AC79C4">
      <w:pPr>
        <w:numPr>
          <w:ilvl w:val="0"/>
          <w:numId w:val="4"/>
        </w:numPr>
      </w:pPr>
      <w:r w:rsidRPr="00AC79C4">
        <w:rPr>
          <w:b/>
          <w:bCs/>
        </w:rPr>
        <w:t>Periodic DR Drills:</w:t>
      </w:r>
      <w:r w:rsidRPr="00AC79C4">
        <w:br/>
        <w:t>Conduct semi-annual disaster recovery simulations to test and refine the recovery plan.</w:t>
      </w:r>
    </w:p>
    <w:p w14:paraId="285F245B" w14:textId="77777777" w:rsidR="00AC79C4" w:rsidRPr="00AC79C4" w:rsidRDefault="00AC79C4" w:rsidP="00AC79C4">
      <w:pPr>
        <w:rPr>
          <w:lang w:val="en-US"/>
        </w:rPr>
      </w:pPr>
    </w:p>
    <w:p w14:paraId="4D9175C5" w14:textId="77777777" w:rsidR="0083584B" w:rsidRDefault="0083584B"/>
    <w:sectPr w:rsidR="0083584B" w:rsidSect="00463A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6923"/>
    <w:multiLevelType w:val="multilevel"/>
    <w:tmpl w:val="7FAA2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B08FC"/>
    <w:multiLevelType w:val="multilevel"/>
    <w:tmpl w:val="B26ED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7468E"/>
    <w:multiLevelType w:val="multilevel"/>
    <w:tmpl w:val="E9087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5E7149D"/>
    <w:multiLevelType w:val="multilevel"/>
    <w:tmpl w:val="F54CF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09857293">
    <w:abstractNumId w:val="1"/>
    <w:lvlOverride w:ilvl="0"/>
    <w:lvlOverride w:ilvl="1"/>
    <w:lvlOverride w:ilvl="2"/>
    <w:lvlOverride w:ilvl="3"/>
    <w:lvlOverride w:ilvl="4"/>
    <w:lvlOverride w:ilvl="5"/>
    <w:lvlOverride w:ilvl="6"/>
    <w:lvlOverride w:ilvl="7"/>
    <w:lvlOverride w:ilvl="8"/>
  </w:num>
  <w:num w:numId="2" w16cid:durableId="1470048627">
    <w:abstractNumId w:val="3"/>
    <w:lvlOverride w:ilvl="0"/>
    <w:lvlOverride w:ilvl="1"/>
    <w:lvlOverride w:ilvl="2"/>
    <w:lvlOverride w:ilvl="3"/>
    <w:lvlOverride w:ilvl="4"/>
    <w:lvlOverride w:ilvl="5"/>
    <w:lvlOverride w:ilvl="6"/>
    <w:lvlOverride w:ilvl="7"/>
    <w:lvlOverride w:ilvl="8"/>
  </w:num>
  <w:num w:numId="3" w16cid:durableId="207569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279725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C4"/>
    <w:rsid w:val="00463AF6"/>
    <w:rsid w:val="0083584B"/>
    <w:rsid w:val="00AC79C4"/>
    <w:rsid w:val="00BF5C4F"/>
    <w:rsid w:val="00F50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9927"/>
  <w15:chartTrackingRefBased/>
  <w15:docId w15:val="{83FC868A-E59C-401A-AAC9-F5A7502D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9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79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79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79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79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7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9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79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79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79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79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7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9C4"/>
    <w:rPr>
      <w:rFonts w:eastAsiaTheme="majorEastAsia" w:cstheme="majorBidi"/>
      <w:color w:val="272727" w:themeColor="text1" w:themeTint="D8"/>
    </w:rPr>
  </w:style>
  <w:style w:type="paragraph" w:styleId="Title">
    <w:name w:val="Title"/>
    <w:basedOn w:val="Normal"/>
    <w:next w:val="Normal"/>
    <w:link w:val="TitleChar"/>
    <w:uiPriority w:val="10"/>
    <w:qFormat/>
    <w:rsid w:val="00AC7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9C4"/>
    <w:pPr>
      <w:spacing w:before="160"/>
      <w:jc w:val="center"/>
    </w:pPr>
    <w:rPr>
      <w:i/>
      <w:iCs/>
      <w:color w:val="404040" w:themeColor="text1" w:themeTint="BF"/>
    </w:rPr>
  </w:style>
  <w:style w:type="character" w:customStyle="1" w:styleId="QuoteChar">
    <w:name w:val="Quote Char"/>
    <w:basedOn w:val="DefaultParagraphFont"/>
    <w:link w:val="Quote"/>
    <w:uiPriority w:val="29"/>
    <w:rsid w:val="00AC79C4"/>
    <w:rPr>
      <w:i/>
      <w:iCs/>
      <w:color w:val="404040" w:themeColor="text1" w:themeTint="BF"/>
    </w:rPr>
  </w:style>
  <w:style w:type="paragraph" w:styleId="ListParagraph">
    <w:name w:val="List Paragraph"/>
    <w:basedOn w:val="Normal"/>
    <w:uiPriority w:val="34"/>
    <w:qFormat/>
    <w:rsid w:val="00AC79C4"/>
    <w:pPr>
      <w:ind w:left="720"/>
      <w:contextualSpacing/>
    </w:pPr>
  </w:style>
  <w:style w:type="character" w:styleId="IntenseEmphasis">
    <w:name w:val="Intense Emphasis"/>
    <w:basedOn w:val="DefaultParagraphFont"/>
    <w:uiPriority w:val="21"/>
    <w:qFormat/>
    <w:rsid w:val="00AC79C4"/>
    <w:rPr>
      <w:i/>
      <w:iCs/>
      <w:color w:val="2F5496" w:themeColor="accent1" w:themeShade="BF"/>
    </w:rPr>
  </w:style>
  <w:style w:type="paragraph" w:styleId="IntenseQuote">
    <w:name w:val="Intense Quote"/>
    <w:basedOn w:val="Normal"/>
    <w:next w:val="Normal"/>
    <w:link w:val="IntenseQuoteChar"/>
    <w:uiPriority w:val="30"/>
    <w:qFormat/>
    <w:rsid w:val="00AC79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79C4"/>
    <w:rPr>
      <w:i/>
      <w:iCs/>
      <w:color w:val="2F5496" w:themeColor="accent1" w:themeShade="BF"/>
    </w:rPr>
  </w:style>
  <w:style w:type="character" w:styleId="IntenseReference">
    <w:name w:val="Intense Reference"/>
    <w:basedOn w:val="DefaultParagraphFont"/>
    <w:uiPriority w:val="32"/>
    <w:qFormat/>
    <w:rsid w:val="00AC79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81937">
      <w:bodyDiv w:val="1"/>
      <w:marLeft w:val="0"/>
      <w:marRight w:val="0"/>
      <w:marTop w:val="0"/>
      <w:marBottom w:val="0"/>
      <w:divBdr>
        <w:top w:val="none" w:sz="0" w:space="0" w:color="auto"/>
        <w:left w:val="none" w:sz="0" w:space="0" w:color="auto"/>
        <w:bottom w:val="none" w:sz="0" w:space="0" w:color="auto"/>
        <w:right w:val="none" w:sz="0" w:space="0" w:color="auto"/>
      </w:divBdr>
    </w:div>
    <w:div w:id="20445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R</dc:creator>
  <cp:keywords/>
  <dc:description/>
  <cp:lastModifiedBy>Nithya R</cp:lastModifiedBy>
  <cp:revision>1</cp:revision>
  <dcterms:created xsi:type="dcterms:W3CDTF">2025-04-08T04:11:00Z</dcterms:created>
  <dcterms:modified xsi:type="dcterms:W3CDTF">2025-04-08T04:11:00Z</dcterms:modified>
</cp:coreProperties>
</file>