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Attention-Based Text Classification: A Survey of Attention Mechanisms for Deep Learning Based Text Classification</w:t>
      </w:r>
    </w:p>
    <w:p/>
    <w:p>
      <w:pPr>
        <w:jc w:val="center"/>
      </w:pPr>
      <w:r>
        <w:rPr>
          <w:b/>
          <w:sz w:val="22"/>
        </w:rPr>
        <w:t>Abhijit Kamasane (34131), Vedant Kambale (34132), Pavan Kanade (34133), Student 4 (34134)</w:t>
        <w:br/>
      </w:r>
      <w:r>
        <w:rPr>
          <w:i/>
          <w:sz w:val="19"/>
        </w:rPr>
        <w:t>Department of Computer Science &amp; Engineering, Third Year B.Tech</w:t>
        <w:br/>
        <w:t>Project-Based Learning (PBL) Deep Learning Submission</w:t>
        <w:br/>
        <w:t>Status: Not Published (Pending Manual Confirmation)</w:t>
      </w:r>
    </w:p>
    <w:p/>
    <w:p>
      <w:r>
        <w:rPr>
          <w:b/>
          <w:i/>
          <w:sz w:val="18"/>
        </w:rPr>
        <w:t>Abstract—</w:t>
      </w:r>
      <w:r>
        <w:rPr>
          <w:i/>
          <w:sz w:val="18"/>
        </w:rPr>
        <w:t>Natural Language Processing (NLP) sequence classification models historically relied on Recurrent Neural Networks (RNNs) and Long Short-Term Memory (LSTM) networks. However, standard recurrent architectures compress variable-length input sequences into a single fixed-length hidden vector, creating a severe information bottleneck and offering minimal model interpretability. This survey paper examines the evolution, mathematical formulations, and practical applications of attention mechanisms for text classification. We analyze foundational additive attention (Bahdanau et al.), multiplicative dot-product attention (Luong et al.), multi-head self-attention (Vaswani et al.), and hierarchical document attention (Yang et al.). We present comparative analysis matrices, examine the architectural integration of Attention-BiLSTM networks, discuss real-world case studies in e-commerce feedback triage, and outline future research directions in interpretable deep learning.</w:t>
      </w:r>
    </w:p>
    <w:p>
      <w:r>
        <w:rPr>
          <w:b/>
          <w:i/>
          <w:sz w:val="18"/>
        </w:rPr>
        <w:t>Index Terms—</w:t>
      </w:r>
      <w:r>
        <w:rPr>
          <w:sz w:val="18"/>
        </w:rPr>
        <w:t>Attention Mechanism, Deep Learning, Text Classification, BiLSTM, Self-Attention, Query-Key-Value, Model Interpretability, IMDb Dataset.</w:t>
      </w:r>
    </w:p>
    <w:p/>
    <w:p>
      <w:pPr>
        <w:spacing w:before="240" w:after="80"/>
      </w:pPr>
      <w:r>
        <w:rPr>
          <w:rFonts w:ascii="Times New Roman" w:hAnsi="Times New Roman"/>
          <w:b/>
          <w:sz w:val="24"/>
        </w:rPr>
        <w:t>I. INTRODUCTION</w:t>
      </w:r>
    </w:p>
    <w:p>
      <w:pPr>
        <w:spacing w:after="80" w:line="276" w:lineRule="auto"/>
      </w:pPr>
      <w:r>
        <w:rPr>
          <w:rFonts w:ascii="Times New Roman" w:hAnsi="Times New Roman"/>
          <w:sz w:val="20"/>
        </w:rPr>
        <w:t>Text classification is a fundamental task in Natural Language Processing (NLP), with broad applications spanning sentiment analysis, spam detection, news categorization, legal document parsing, and customer support ticket routing. Traditional machine learning methods relied heavily on manual feature engineering, bag-of-words representations, or TF-IDF metrics paired with linear classifiers. While effective for short texts, these traditional approaches failed to capture word order, syntactic context, or complex semantic relationships.</w:t>
      </w:r>
    </w:p>
    <w:p>
      <w:pPr>
        <w:spacing w:after="80" w:line="276" w:lineRule="auto"/>
      </w:pPr>
      <w:r>
        <w:rPr>
          <w:rFonts w:ascii="Times New Roman" w:hAnsi="Times New Roman"/>
          <w:sz w:val="20"/>
        </w:rPr>
        <w:t>With the advent of deep learning, recurrent architectures such as Recurrent Neural Networks (RNNs) and Long Short-Term Memory (LSTM) networks became the standard paradigm for sequence modeling. By maintaining hidden state vectors across timesteps, LSTMs process text sequentially and capture long-range dependencies. However, conventional LSTM classifiers extract only the final hidden state vector h_T to represent the entire input text. For lengthy documents or multi-sentence reviews, this creates a critical information bottleneck, as early token information degrades over time.</w:t>
      </w:r>
    </w:p>
    <w:p>
      <w:pPr>
        <w:spacing w:after="80" w:line="276" w:lineRule="auto"/>
      </w:pPr>
      <w:r>
        <w:rPr>
          <w:rFonts w:ascii="Times New Roman" w:hAnsi="Times New Roman"/>
          <w:sz w:val="20"/>
        </w:rPr>
        <w:t>To resolve this bottleneck, attention mechanisms were introduced into deep learning. Attention allows the model to dynamically inspect all intermediate hidden states h_i and compute normalized scalar weights α_i that quantify the relative importance of each token. This paper surveys attention mechanisms for text classification, presenting mathematical formulations, literature comparisons, research gap analyses, and real-world case studies.</w:t>
      </w:r>
    </w:p>
    <w:p>
      <w:pPr>
        <w:spacing w:before="240" w:after="80"/>
      </w:pPr>
      <w:r>
        <w:rPr>
          <w:rFonts w:ascii="Times New Roman" w:hAnsi="Times New Roman"/>
          <w:b/>
          <w:sz w:val="24"/>
        </w:rPr>
        <w:t>II. BACKGROUND &amp; SEQUENCE BOTTLENECK IN RECURRENT ARCHITECTURES</w:t>
      </w:r>
    </w:p>
    <w:p>
      <w:pPr>
        <w:spacing w:after="80" w:line="276" w:lineRule="auto"/>
      </w:pPr>
      <w:r>
        <w:rPr>
          <w:rFonts w:ascii="Times New Roman" w:hAnsi="Times New Roman"/>
          <w:sz w:val="20"/>
        </w:rPr>
        <w:t>In a standard unidirectional LSTM, an input sequence X = (x_1, x_2, ..., x_N) is mapped to a sequence of hidden state vectors (h_1, h_2, ..., h_N). In sequence classification, the standard approach feeds the final state h_N into a dense output layer. This design imposes two primary structural limitations:</w:t>
      </w:r>
    </w:p>
    <w:p>
      <w:pPr>
        <w:spacing w:after="80" w:line="276" w:lineRule="auto"/>
      </w:pPr>
      <w:r>
        <w:rPr>
          <w:rFonts w:ascii="Times New Roman" w:hAnsi="Times New Roman"/>
          <w:sz w:val="20"/>
        </w:rPr>
        <w:t>1) Fixed-Length Bottleneck: The entire semantic content of a 500-word document must be compressed into a single vector (e.g., dimension 128), leading to information loss for early tokens.</w:t>
      </w:r>
    </w:p>
    <w:p>
      <w:pPr>
        <w:spacing w:after="80" w:line="276" w:lineRule="auto"/>
      </w:pPr>
      <w:r>
        <w:rPr>
          <w:rFonts w:ascii="Times New Roman" w:hAnsi="Times New Roman"/>
          <w:sz w:val="20"/>
        </w:rPr>
        <w:t>2) Lack of Interpretability: Standard LSTM hidden vectors function as opaque black boxes. Evaluators and users cannot determine which specific words caused a positive or negative sentiment classification.</w:t>
      </w:r>
    </w:p>
    <w:p>
      <w:pPr>
        <w:spacing w:before="240" w:after="80"/>
      </w:pPr>
      <w:r>
        <w:rPr>
          <w:rFonts w:ascii="Times New Roman" w:hAnsi="Times New Roman"/>
          <w:b/>
          <w:sz w:val="24"/>
        </w:rPr>
        <w:t>III. THE ATTENTION MECHANISM: MATHEMATICAL FORMULATION</w:t>
      </w:r>
    </w:p>
    <w:p>
      <w:pPr>
        <w:spacing w:after="80" w:line="276" w:lineRule="auto"/>
      </w:pPr>
      <w:r>
        <w:rPr>
          <w:rFonts w:ascii="Times New Roman" w:hAnsi="Times New Roman"/>
          <w:sz w:val="20"/>
        </w:rPr>
        <w:t>The additive attention mechanism proposed by Bahdanau et al. solves the bottleneck problem by computing alignment scores score_i between hidden states and a learnable context vector. For a sequence of BiLSTM hidden states h_i ∈ R^(2d_h), the attention layer computes:</w:t>
      </w:r>
    </w:p>
    <w:p>
      <w:pPr>
        <w:spacing w:after="80" w:line="276" w:lineRule="auto"/>
      </w:pPr>
      <w:r>
        <w:rPr>
          <w:rFonts w:ascii="Times New Roman" w:hAnsi="Times New Roman"/>
          <w:sz w:val="20"/>
        </w:rPr>
        <w:t>1) Attention Score Computation:</w:t>
        <w:br/>
        <w:t xml:space="preserve">   score_i = tanh(W_h · h_i + b)</w:t>
      </w:r>
    </w:p>
    <w:p>
      <w:pPr>
        <w:spacing w:after="80" w:line="276" w:lineRule="auto"/>
      </w:pPr>
      <w:r>
        <w:rPr>
          <w:rFonts w:ascii="Times New Roman" w:hAnsi="Times New Roman"/>
          <w:sz w:val="20"/>
        </w:rPr>
        <w:t>2) Softmax Weight Normalization:</w:t>
        <w:br/>
        <w:t xml:space="preserve">   alpha_i = exp(score_i) / Σ_{j=1}^N exp(score_j)</w:t>
      </w:r>
    </w:p>
    <w:p>
      <w:pPr>
        <w:spacing w:after="80" w:line="276" w:lineRule="auto"/>
      </w:pPr>
      <w:r>
        <w:rPr>
          <w:rFonts w:ascii="Times New Roman" w:hAnsi="Times New Roman"/>
          <w:sz w:val="20"/>
        </w:rPr>
        <w:t>3) Weighted Context Vector Construction:</w:t>
        <w:br/>
        <w:t xml:space="preserve">   c = Σ_{i=1}^N (alpha_i · h_i)</w:t>
      </w:r>
    </w:p>
    <w:p>
      <w:pPr>
        <w:spacing w:after="80" w:line="276" w:lineRule="auto"/>
      </w:pPr>
      <w:r>
        <w:rPr>
          <w:rFonts w:ascii="Times New Roman" w:hAnsi="Times New Roman"/>
          <w:sz w:val="20"/>
        </w:rPr>
        <w:t>The resulting context vector c is a weighted linear combination of all sequence hidden states, where tokens with higher scalar weights α_i contribute more strongly to the final classification head.</w:t>
      </w:r>
    </w:p>
    <w:p>
      <w:pPr>
        <w:spacing w:before="240" w:after="80"/>
      </w:pPr>
      <w:r>
        <w:rPr>
          <w:rFonts w:ascii="Times New Roman" w:hAnsi="Times New Roman"/>
          <w:b/>
          <w:sz w:val="24"/>
        </w:rPr>
        <w:t>IV. ATTENTION IN RECURRENT ARCHITECTURES (LSTM &amp; BiLSTM)</w:t>
      </w:r>
    </w:p>
    <w:p>
      <w:pPr>
        <w:spacing w:after="80" w:line="276" w:lineRule="auto"/>
      </w:pPr>
      <w:r>
        <w:rPr>
          <w:rFonts w:ascii="Times New Roman" w:hAnsi="Times New Roman"/>
          <w:sz w:val="20"/>
        </w:rPr>
        <w:t>Integrating attention with Bidirectional LSTM (BiLSTM) networks yields significant synergy. While unidirectional LSTMs only process past tokens (left-to-right), BiLSTMs compute both forward hidden states h_forward and backward hidden states h_backward at each timestep i, yielding concatenated representation h_i = [h_forward; h_backward]. The attention layer evaluates these bidirectional context states, ensuring that both preceding and succeeding context influence the token importance weight α_i.</w:t>
      </w:r>
    </w:p>
    <w:p>
      <w:pPr>
        <w:spacing w:before="240" w:after="80"/>
      </w:pPr>
      <w:r>
        <w:rPr>
          <w:rFonts w:ascii="Times New Roman" w:hAnsi="Times New Roman"/>
          <w:b/>
          <w:sz w:val="24"/>
        </w:rPr>
        <w:t>V. SCALED DOT-PRODUCT SELF-ATTENTION &amp; QUERY-KEY-VALUE PARADIGM</w:t>
      </w:r>
    </w:p>
    <w:p>
      <w:pPr>
        <w:spacing w:after="80" w:line="276" w:lineRule="auto"/>
      </w:pPr>
      <w:r>
        <w:rPr>
          <w:rFonts w:ascii="Times New Roman" w:hAnsi="Times New Roman"/>
          <w:sz w:val="20"/>
        </w:rPr>
        <w:t>Vaswani et al. (2017) formalized attention using the Query-Key-Value (Q-K-V) abstraction. Given query matrix Q ∈ R^(N × d_k), key matrix K ∈ R^(N × d_k), and value matrix V ∈ R^(N × d_v), the Scaled Dot-Product Attention equation is formulated as:</w:t>
      </w:r>
    </w:p>
    <w:p>
      <w:pPr>
        <w:spacing w:after="80" w:line="276" w:lineRule="auto"/>
      </w:pPr>
      <w:r>
        <w:rPr>
          <w:rFonts w:ascii="Times New Roman" w:hAnsi="Times New Roman"/>
          <w:sz w:val="20"/>
        </w:rPr>
        <w:t xml:space="preserve">   Attention(Q, K, V) = softmax( (Q · Kᵀ) / √d_k ) · V</w:t>
      </w:r>
    </w:p>
    <w:p>
      <w:pPr>
        <w:spacing w:after="80" w:line="276" w:lineRule="auto"/>
      </w:pPr>
      <w:r>
        <w:rPr>
          <w:rFonts w:ascii="Times New Roman" w:hAnsi="Times New Roman"/>
          <w:sz w:val="20"/>
        </w:rPr>
        <w:t>Here, dot products of queries and keys measure alignment. The scaling factor 1/√d_k prevents large dot-product magnitudes from pushing the softmax function into regions with near-zero gradients.</w:t>
      </w:r>
    </w:p>
    <w:p>
      <w:pPr>
        <w:spacing w:before="240" w:after="80"/>
      </w:pPr>
      <w:r>
        <w:rPr>
          <w:rFonts w:ascii="Times New Roman" w:hAnsi="Times New Roman"/>
          <w:b/>
          <w:sz w:val="24"/>
        </w:rPr>
        <w:t>VI. TRANSFORMER-BASED ATTENTION VS SEQUENCE CLASSIFICATION ATTENTION</w:t>
      </w:r>
    </w:p>
    <w:p>
      <w:pPr>
        <w:spacing w:after="80" w:line="276" w:lineRule="auto"/>
      </w:pPr>
      <w:r>
        <w:rPr>
          <w:rFonts w:ascii="Times New Roman" w:hAnsi="Times New Roman"/>
          <w:sz w:val="20"/>
        </w:rPr>
        <w:t>It is essential to distinguish between sequence classification attention (used in Attention-BiLSTM models) and Transformer self-attention. Sequence classification attention uses a global attention parameter to aggregate BiLSTM hidden states into a single context vector c for dense classification. Transformer self-attention computes an N × N pairwise token relationship matrix, replacing recurrent timesteps entirely with multi-head attention blocks.</w:t>
      </w:r>
    </w:p>
    <w:p>
      <w:pPr>
        <w:spacing w:before="240" w:after="80"/>
      </w:pPr>
      <w:r>
        <w:rPr>
          <w:rFonts w:ascii="Times New Roman" w:hAnsi="Times New Roman"/>
          <w:b/>
          <w:sz w:val="24"/>
        </w:rPr>
        <w:t>VII. ATTENTION-BASED TEXT CLASSIFICATION SYSTEMS</w:t>
      </w:r>
    </w:p>
    <w:p>
      <w:pPr>
        <w:spacing w:after="80" w:line="276" w:lineRule="auto"/>
      </w:pPr>
      <w:r>
        <w:rPr>
          <w:rFonts w:ascii="Times New Roman" w:hAnsi="Times New Roman"/>
          <w:sz w:val="20"/>
        </w:rPr>
        <w:t>An end-to-end Attention-BiLSTM text classification system comprises: 1) Text Sanitization &amp; Tokenization, 2) Word Embedding Layer, 3) Bidirectional LSTM Layer, 4) Additive Attention Layer, 5) Dense Classification Layer, and 6) Visual Token Attention Heatmap Renderer. In IMDb movie review sentiment benchmarks (50,000 samples), Attention-BiLSTM models achieve high test accuracy (~92.4%) while maintaining token-level visual interpretability.</w:t>
      </w:r>
    </w:p>
    <w:p>
      <w:pPr>
        <w:spacing w:before="240" w:after="80"/>
      </w:pPr>
      <w:r>
        <w:rPr>
          <w:rFonts w:ascii="Times New Roman" w:hAnsi="Times New Roman"/>
          <w:b/>
          <w:sz w:val="24"/>
        </w:rPr>
        <w:t>VIII. COMPREHENSIVE LITERATURE REVIEW</w:t>
      </w:r>
    </w:p>
    <w:p>
      <w:pPr>
        <w:spacing w:after="80" w:line="276" w:lineRule="auto"/>
      </w:pPr>
      <w:r>
        <w:rPr>
          <w:rFonts w:ascii="Times New Roman" w:hAnsi="Times New Roman"/>
          <w:sz w:val="20"/>
        </w:rPr>
        <w:t>This section surveys four foundational research papers in attention mechanisms:</w:t>
      </w:r>
    </w:p>
    <w:p>
      <w:pPr>
        <w:spacing w:before="160" w:after="40"/>
      </w:pPr>
      <w:r>
        <w:rPr>
          <w:rFonts w:ascii="Times New Roman" w:hAnsi="Times New Roman"/>
          <w:b/>
          <w:i/>
          <w:sz w:val="20"/>
        </w:rPr>
        <w:t>A. Bahdanau et al. (2014) - Neural Machine Translation by Jointly Learning to Align and Translate</w:t>
      </w:r>
    </w:p>
    <w:p>
      <w:pPr>
        <w:spacing w:after="80" w:line="276" w:lineRule="auto"/>
      </w:pPr>
      <w:r>
        <w:rPr>
          <w:rFonts w:ascii="Times New Roman" w:hAnsi="Times New Roman"/>
          <w:sz w:val="20"/>
        </w:rPr>
        <w:t>Pioneered additive attention in sequence-to-sequence translation, allowing decoders to dynamically align with encoder hidden states. Addresses the fixed-length vector bottleneck in long sequences.</w:t>
      </w:r>
    </w:p>
    <w:p>
      <w:pPr>
        <w:spacing w:before="160" w:after="40"/>
      </w:pPr>
      <w:r>
        <w:rPr>
          <w:rFonts w:ascii="Times New Roman" w:hAnsi="Times New Roman"/>
          <w:b/>
          <w:i/>
          <w:sz w:val="20"/>
        </w:rPr>
        <w:t>B. Luong et al. (2015) - Effective Approaches to Attention-based Neural Machine Translation</w:t>
      </w:r>
    </w:p>
    <w:p>
      <w:pPr>
        <w:spacing w:after="80" w:line="276" w:lineRule="auto"/>
      </w:pPr>
      <w:r>
        <w:rPr>
          <w:rFonts w:ascii="Times New Roman" w:hAnsi="Times New Roman"/>
          <w:sz w:val="20"/>
        </w:rPr>
        <w:t>Introduced global and local attention mechanisms and compared dot-product, general, and location-based scoring functions, demonstrating matrix dot-product efficiency.</w:t>
      </w:r>
    </w:p>
    <w:p>
      <w:pPr>
        <w:spacing w:before="160" w:after="40"/>
      </w:pPr>
      <w:r>
        <w:rPr>
          <w:rFonts w:ascii="Times New Roman" w:hAnsi="Times New Roman"/>
          <w:b/>
          <w:i/>
          <w:sz w:val="20"/>
        </w:rPr>
        <w:t>C. Vaswani et al. (2017) - Attention Is All You Need</w:t>
      </w:r>
    </w:p>
    <w:p>
      <w:pPr>
        <w:spacing w:after="80" w:line="276" w:lineRule="auto"/>
      </w:pPr>
      <w:r>
        <w:rPr>
          <w:rFonts w:ascii="Times New Roman" w:hAnsi="Times New Roman"/>
          <w:sz w:val="20"/>
        </w:rPr>
        <w:t>Introduced the Transformer architecture based entirely on multi-head scaled dot-product self-attention, eliminating recurrent LSTMs and enabling massive parallel training.</w:t>
      </w:r>
    </w:p>
    <w:p>
      <w:pPr>
        <w:spacing w:before="160" w:after="40"/>
      </w:pPr>
      <w:r>
        <w:rPr>
          <w:rFonts w:ascii="Times New Roman" w:hAnsi="Times New Roman"/>
          <w:b/>
          <w:i/>
          <w:sz w:val="20"/>
        </w:rPr>
        <w:t>D. Yang et al. (2016) - Hierarchical Attention Networks for Document Classification</w:t>
      </w:r>
    </w:p>
    <w:p>
      <w:pPr>
        <w:spacing w:after="80" w:line="276" w:lineRule="auto"/>
      </w:pPr>
      <w:r>
        <w:rPr>
          <w:rFonts w:ascii="Times New Roman" w:hAnsi="Times New Roman"/>
          <w:sz w:val="20"/>
        </w:rPr>
        <w:t>Proposed hierarchical word-level and sentence-level attention networks for document classification on Yelp and IMDb review datasets, demonstrating that token heatmaps highlight core sentiment words.</w:t>
      </w:r>
    </w:p>
    <w:p>
      <w:pPr>
        <w:spacing w:before="240" w:after="80"/>
      </w:pPr>
      <w:r>
        <w:rPr>
          <w:rFonts w:ascii="Times New Roman" w:hAnsi="Times New Roman"/>
          <w:b/>
          <w:sz w:val="24"/>
        </w:rPr>
        <w:t>IX. COMPARATIVE LITERATURE MATRIX &amp; DISCUSSION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8"/>
              </w:rPr>
              <w:t>Paper / Reference</w:t>
            </w:r>
          </w:p>
        </w:tc>
        <w:tc>
          <w:tcPr>
            <w:tcW w:type="dxa" w:w="2016"/>
          </w:tcPr>
          <w:p>
            <w:r>
              <w:rPr>
                <w:b/>
                <w:sz w:val="18"/>
              </w:rPr>
              <w:t>Year</w:t>
            </w:r>
          </w:p>
        </w:tc>
        <w:tc>
          <w:tcPr>
            <w:tcW w:type="dxa" w:w="2016"/>
          </w:tcPr>
          <w:p>
            <w:r>
              <w:rPr>
                <w:b/>
                <w:sz w:val="18"/>
              </w:rPr>
              <w:t>Attention Mechanism</w:t>
            </w:r>
          </w:p>
        </w:tc>
        <w:tc>
          <w:tcPr>
            <w:tcW w:type="dxa" w:w="2016"/>
          </w:tcPr>
          <w:p>
            <w:r>
              <w:rPr>
                <w:b/>
                <w:sz w:val="18"/>
              </w:rPr>
              <w:t>Dataset / Task</w:t>
            </w:r>
          </w:p>
        </w:tc>
        <w:tc>
          <w:tcPr>
            <w:tcW w:type="dxa" w:w="2016"/>
          </w:tcPr>
          <w:p>
            <w:r>
              <w:rPr>
                <w:b/>
                <w:sz w:val="18"/>
              </w:rPr>
              <w:t>Main Contribution</w:t>
            </w:r>
          </w:p>
        </w:tc>
      </w:tr>
      <w:tr>
        <w:tc>
          <w:tcPr>
            <w:tcW w:type="dxa" w:w="2016"/>
          </w:tcPr>
          <w:p>
            <w:r>
              <w:rPr>
                <w:sz w:val="17"/>
              </w:rPr>
              <w:t>Bahdanau et al.</w:t>
            </w:r>
          </w:p>
        </w:tc>
        <w:tc>
          <w:tcPr>
            <w:tcW w:type="dxa" w:w="2016"/>
          </w:tcPr>
          <w:p>
            <w:r>
              <w:rPr>
                <w:sz w:val="17"/>
              </w:rPr>
              <w:t>2014</w:t>
            </w:r>
          </w:p>
        </w:tc>
        <w:tc>
          <w:tcPr>
            <w:tcW w:type="dxa" w:w="2016"/>
          </w:tcPr>
          <w:p>
            <w:r>
              <w:rPr>
                <w:sz w:val="17"/>
              </w:rPr>
              <w:t>Additive Attention</w:t>
            </w:r>
          </w:p>
        </w:tc>
        <w:tc>
          <w:tcPr>
            <w:tcW w:type="dxa" w:w="2016"/>
          </w:tcPr>
          <w:p>
            <w:r>
              <w:rPr>
                <w:sz w:val="17"/>
              </w:rPr>
              <w:t>WMT 14 En-Fr</w:t>
            </w:r>
          </w:p>
        </w:tc>
        <w:tc>
          <w:tcPr>
            <w:tcW w:type="dxa" w:w="2016"/>
          </w:tcPr>
          <w:p>
            <w:r>
              <w:rPr>
                <w:sz w:val="17"/>
              </w:rPr>
              <w:t>Pioneered dynamic sequence alignment.</w:t>
            </w:r>
          </w:p>
        </w:tc>
      </w:tr>
      <w:tr>
        <w:tc>
          <w:tcPr>
            <w:tcW w:type="dxa" w:w="2016"/>
          </w:tcPr>
          <w:p>
            <w:r>
              <w:rPr>
                <w:sz w:val="17"/>
              </w:rPr>
              <w:t>Luong et al.</w:t>
            </w:r>
          </w:p>
        </w:tc>
        <w:tc>
          <w:tcPr>
            <w:tcW w:type="dxa" w:w="2016"/>
          </w:tcPr>
          <w:p>
            <w:r>
              <w:rPr>
                <w:sz w:val="17"/>
              </w:rPr>
              <w:t>2015</w:t>
            </w:r>
          </w:p>
        </w:tc>
        <w:tc>
          <w:tcPr>
            <w:tcW w:type="dxa" w:w="2016"/>
          </w:tcPr>
          <w:p>
            <w:r>
              <w:rPr>
                <w:sz w:val="17"/>
              </w:rPr>
              <w:t>Dot-Product / Local</w:t>
            </w:r>
          </w:p>
        </w:tc>
        <w:tc>
          <w:tcPr>
            <w:tcW w:type="dxa" w:w="2016"/>
          </w:tcPr>
          <w:p>
            <w:r>
              <w:rPr>
                <w:sz w:val="17"/>
              </w:rPr>
              <w:t>WMT 14 NMT</w:t>
            </w:r>
          </w:p>
        </w:tc>
        <w:tc>
          <w:tcPr>
            <w:tcW w:type="dxa" w:w="2016"/>
          </w:tcPr>
          <w:p>
            <w:r>
              <w:rPr>
                <w:sz w:val="17"/>
              </w:rPr>
              <w:t>Simplified dot-product attention scoring.</w:t>
            </w:r>
          </w:p>
        </w:tc>
      </w:tr>
      <w:tr>
        <w:tc>
          <w:tcPr>
            <w:tcW w:type="dxa" w:w="2016"/>
          </w:tcPr>
          <w:p>
            <w:r>
              <w:rPr>
                <w:sz w:val="17"/>
              </w:rPr>
              <w:t>Vaswani et al.</w:t>
            </w:r>
          </w:p>
        </w:tc>
        <w:tc>
          <w:tcPr>
            <w:tcW w:type="dxa" w:w="2016"/>
          </w:tcPr>
          <w:p>
            <w:r>
              <w:rPr>
                <w:sz w:val="17"/>
              </w:rPr>
              <w:t>2017</w:t>
            </w:r>
          </w:p>
        </w:tc>
        <w:tc>
          <w:tcPr>
            <w:tcW w:type="dxa" w:w="2016"/>
          </w:tcPr>
          <w:p>
            <w:r>
              <w:rPr>
                <w:sz w:val="17"/>
              </w:rPr>
              <w:t>Scaled Dot-Product (Q-K-V)</w:t>
            </w:r>
          </w:p>
        </w:tc>
        <w:tc>
          <w:tcPr>
            <w:tcW w:type="dxa" w:w="2016"/>
          </w:tcPr>
          <w:p>
            <w:r>
              <w:rPr>
                <w:sz w:val="17"/>
              </w:rPr>
              <w:t>WMT 14 En-De</w:t>
            </w:r>
          </w:p>
        </w:tc>
        <w:tc>
          <w:tcPr>
            <w:tcW w:type="dxa" w:w="2016"/>
          </w:tcPr>
          <w:p>
            <w:r>
              <w:rPr>
                <w:sz w:val="17"/>
              </w:rPr>
              <w:t>Introduced Transformer &amp; self-attention.</w:t>
            </w:r>
          </w:p>
        </w:tc>
      </w:tr>
      <w:tr>
        <w:tc>
          <w:tcPr>
            <w:tcW w:type="dxa" w:w="2016"/>
          </w:tcPr>
          <w:p>
            <w:r>
              <w:rPr>
                <w:sz w:val="17"/>
              </w:rPr>
              <w:t>Yang et al.</w:t>
            </w:r>
          </w:p>
        </w:tc>
        <w:tc>
          <w:tcPr>
            <w:tcW w:type="dxa" w:w="2016"/>
          </w:tcPr>
          <w:p>
            <w:r>
              <w:rPr>
                <w:sz w:val="17"/>
              </w:rPr>
              <w:t>2016</w:t>
            </w:r>
          </w:p>
        </w:tc>
        <w:tc>
          <w:tcPr>
            <w:tcW w:type="dxa" w:w="2016"/>
          </w:tcPr>
          <w:p>
            <w:r>
              <w:rPr>
                <w:sz w:val="17"/>
              </w:rPr>
              <w:t>Hierarchical Attention</w:t>
            </w:r>
          </w:p>
        </w:tc>
        <w:tc>
          <w:tcPr>
            <w:tcW w:type="dxa" w:w="2016"/>
          </w:tcPr>
          <w:p>
            <w:r>
              <w:rPr>
                <w:sz w:val="17"/>
              </w:rPr>
              <w:t>Yelp &amp; IMDb</w:t>
            </w:r>
          </w:p>
        </w:tc>
        <w:tc>
          <w:tcPr>
            <w:tcW w:type="dxa" w:w="2016"/>
          </w:tcPr>
          <w:p>
            <w:r>
              <w:rPr>
                <w:sz w:val="17"/>
              </w:rPr>
              <w:t>Word &amp; sentence level document attention.</w:t>
            </w:r>
          </w:p>
        </w:tc>
      </w:tr>
    </w:tbl>
    <w:p/>
    <w:p>
      <w:pPr>
        <w:spacing w:before="240" w:after="80"/>
      </w:pPr>
      <w:r>
        <w:rPr>
          <w:rFonts w:ascii="Times New Roman" w:hAnsi="Times New Roman"/>
          <w:b/>
          <w:sz w:val="24"/>
        </w:rPr>
        <w:t>X. RESEARCH GAP &amp; BOTTLENECK ANALYSIS</w:t>
      </w:r>
    </w:p>
    <w:p>
      <w:pPr>
        <w:spacing w:after="80" w:line="276" w:lineRule="auto"/>
      </w:pPr>
      <w:r>
        <w:rPr>
          <w:rFonts w:ascii="Times New Roman" w:hAnsi="Times New Roman"/>
          <w:sz w:val="20"/>
        </w:rPr>
        <w:t>Despite significant advances, traditional sequence models still present a research gap between raw classification accuracy and interpretability. Conventional deep learning classifiers act as black boxes, making them difficult to audit in critical applications. Attention mechanisms bridge this gap by offering explicit token importance weights, allowing human evaluators to inspect model focus.</w:t>
      </w:r>
    </w:p>
    <w:p>
      <w:pPr>
        <w:spacing w:before="240" w:after="80"/>
      </w:pPr>
      <w:r>
        <w:rPr>
          <w:rFonts w:ascii="Times New Roman" w:hAnsi="Times New Roman"/>
          <w:b/>
          <w:sz w:val="24"/>
        </w:rPr>
        <w:t>XI. REAL-WORLD CASE STUDIES &amp; INDUSTRY APPLICATIONS</w:t>
      </w:r>
    </w:p>
    <w:p>
      <w:pPr>
        <w:spacing w:after="80" w:line="276" w:lineRule="auto"/>
      </w:pPr>
      <w:r>
        <w:rPr>
          <w:rFonts w:ascii="Times New Roman" w:hAnsi="Times New Roman"/>
          <w:sz w:val="20"/>
        </w:rPr>
        <w:t>Real-world application domains include e-commerce review analysis, support ticket triage, spam filtering, and social media brand monitoring. In support ticket triage, high attention weights on negative tokens (e.g., 'defective', 'broken', 'slow') trigger automated escalation to senior support agents.</w:t>
      </w:r>
    </w:p>
    <w:p>
      <w:pPr>
        <w:spacing w:before="240" w:after="80"/>
      </w:pPr>
      <w:r>
        <w:rPr>
          <w:rFonts w:ascii="Times New Roman" w:hAnsi="Times New Roman"/>
          <w:b/>
          <w:sz w:val="24"/>
        </w:rPr>
        <w:t>XII. CHALLENGES, INTERPRETABILITY &amp; LIMITATIONS</w:t>
      </w:r>
    </w:p>
    <w:p>
      <w:pPr>
        <w:spacing w:after="80" w:line="276" w:lineRule="auto"/>
      </w:pPr>
      <w:r>
        <w:rPr>
          <w:rFonts w:ascii="Times New Roman" w:hAnsi="Times New Roman"/>
          <w:sz w:val="20"/>
        </w:rPr>
        <w:t>Primary limitations include: 1) Computational Overhead: Additive tanh score calculations increase matrix operations, 2) Vocabulary Cutoff: Out-of-vocabulary words map to unknown tokens (&lt;UNK&gt;), and 3) Attention vs Causality: Attention weights indicate correlation rather than guaranteed causal explanation.</w:t>
      </w:r>
    </w:p>
    <w:p>
      <w:pPr>
        <w:spacing w:before="240" w:after="80"/>
      </w:pPr>
      <w:r>
        <w:rPr>
          <w:rFonts w:ascii="Times New Roman" w:hAnsi="Times New Roman"/>
          <w:b/>
          <w:sz w:val="24"/>
        </w:rPr>
        <w:t>XIII. FUTURE RESEARCH DIRECTIONS</w:t>
      </w:r>
    </w:p>
    <w:p>
      <w:pPr>
        <w:spacing w:after="80" w:line="276" w:lineRule="auto"/>
      </w:pPr>
      <w:r>
        <w:rPr>
          <w:rFonts w:ascii="Times New Roman" w:hAnsi="Times New Roman"/>
          <w:sz w:val="20"/>
        </w:rPr>
        <w:t>Future research includes fine-tuning pretrained Transformer models (BERT, RoBERTa), extending classification from binary to 5-star ratings, supporting multilingual tokenizers, and deploying cloud microservices.</w:t>
      </w:r>
    </w:p>
    <w:p>
      <w:pPr>
        <w:spacing w:before="240" w:after="80"/>
      </w:pPr>
      <w:r>
        <w:rPr>
          <w:rFonts w:ascii="Times New Roman" w:hAnsi="Times New Roman"/>
          <w:b/>
          <w:sz w:val="24"/>
        </w:rPr>
        <w:t>XIV. CONCLUSION</w:t>
      </w:r>
    </w:p>
    <w:p>
      <w:pPr>
        <w:spacing w:after="80" w:line="276" w:lineRule="auto"/>
      </w:pPr>
      <w:r>
        <w:rPr>
          <w:rFonts w:ascii="Times New Roman" w:hAnsi="Times New Roman"/>
          <w:sz w:val="20"/>
        </w:rPr>
        <w:t>This survey has examined attention mechanisms for text classification, contrasting additive sequence attention with scaled dot-product self-attention. By combining Bidirectional LSTMs with additive attention layers, deep learning models eliminate single-vector bottlenecks while providing visual token heatmaps.</w:t>
      </w:r>
    </w:p>
    <w:p>
      <w:pPr>
        <w:spacing w:before="240"/>
      </w:pPr>
      <w:r>
        <w:rPr>
          <w:b/>
          <w:i/>
          <w:color w:val="B40000"/>
        </w:rPr>
        <w:t>PUBLICATION STATUS NOTICE: Not Published (Pending Manual Confirmation)</w:t>
      </w:r>
    </w:p>
    <w:p>
      <w:pPr>
        <w:spacing w:before="240" w:after="80"/>
      </w:pPr>
      <w:r>
        <w:rPr>
          <w:rFonts w:ascii="Times New Roman" w:hAnsi="Times New Roman"/>
          <w:b/>
          <w:sz w:val="24"/>
        </w:rPr>
        <w:t>REFERENCES</w:t>
      </w:r>
    </w:p>
    <w:p>
      <w:pPr>
        <w:spacing w:after="80" w:line="276" w:lineRule="auto"/>
      </w:pPr>
      <w:r>
        <w:rPr>
          <w:rFonts w:ascii="Times New Roman" w:hAnsi="Times New Roman"/>
          <w:sz w:val="20"/>
        </w:rPr>
        <w:t>[1] D. Bahdanau, K. Cho, and Y. Bengio, "Neural machine translation by jointly learning to align and translate," arXiv preprint arXiv:1409.0473, 2014.</w:t>
      </w:r>
    </w:p>
    <w:p>
      <w:pPr>
        <w:spacing w:after="80" w:line="276" w:lineRule="auto"/>
      </w:pPr>
      <w:r>
        <w:rPr>
          <w:rFonts w:ascii="Times New Roman" w:hAnsi="Times New Roman"/>
          <w:sz w:val="20"/>
        </w:rPr>
        <w:t>[2] M.-T. Luong, H. Pham, and C. D. Manning, "Effective approaches to attention-based neural machine translation," arXiv preprint arXiv:1508.04025, 2015.</w:t>
      </w:r>
    </w:p>
    <w:p>
      <w:pPr>
        <w:spacing w:after="80" w:line="276" w:lineRule="auto"/>
      </w:pPr>
      <w:r>
        <w:rPr>
          <w:rFonts w:ascii="Times New Roman" w:hAnsi="Times New Roman"/>
          <w:sz w:val="20"/>
        </w:rPr>
        <w:t>[3] A. Vaswani et al., "Attention is all you need," in Advances in Neural Information Processing Systems (NeurIPS), 2017, pp. 5998–6008.</w:t>
      </w:r>
    </w:p>
    <w:p>
      <w:pPr>
        <w:spacing w:after="80" w:line="276" w:lineRule="auto"/>
      </w:pPr>
      <w:r>
        <w:rPr>
          <w:rFonts w:ascii="Times New Roman" w:hAnsi="Times New Roman"/>
          <w:sz w:val="20"/>
        </w:rPr>
        <w:t>[4] Z. Yang, D. Yang, C. Dyer, X. He, A. Smola, and E. Hovy, "Hierarchical attention networks for document classification," in Proc. NAACL-HLT, 2016, pp. 1480–1489.</w:t>
      </w:r>
    </w:p>
    <w:p>
      <w:pPr>
        <w:spacing w:after="80" w:line="276" w:lineRule="auto"/>
      </w:pPr>
      <w:r>
        <w:rPr>
          <w:rFonts w:ascii="Times New Roman" w:hAnsi="Times New Roman"/>
          <w:sz w:val="20"/>
        </w:rPr>
        <w:t>[5] A. Maas, R. E. Daly, P. T. Pham, D. Huang, A. Y. Ng, and C. Potts, "Learning word vectors for sentiment analysis," in Proc. ACL, 2011, pp. 142–150.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