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0F2A47"/>
          <w:sz w:val="48"/>
          <w:szCs w:val="48"/>
        </w:rPr>
        <w:t xml:space="preserve">Startup Navigator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System Architecture &amp; Database Design</w:t>
      </w:r>
    </w:p>
    <w:p>
      <w:pPr>
        <w:pStyle w:val="Heading1"/>
        <w:spacing w:after="150" w:before="300"/>
      </w:pPr>
      <w:r>
        <w:t xml:space="preserve">1. Architecture overview</w:t>
      </w:r>
    </w:p>
    <w:p>
      <w:pPr>
        <w:spacing w:after="120"/>
      </w:pPr>
      <w:r>
        <w:t xml:space="preserve">Startup Navigator uses a three-tier architecture: a React/TypeScript single-page app (frontend), a Node/Express REST API (backend), and a managed PostgreSQL database via Supabase, accessed through Prisma ORM. The AI search feature adds a fourth, optional tier — a pluggable LLM provider — that the backend calls with retrieved context from the database. This keeps the AI provider swappable and non-blocking: if no key is configured, the backend answers from the knowledge base directly.</w:t>
      </w:r>
    </w:p>
    <w:p>
      <w:pPr>
        <w:pStyle w:val="Heading2"/>
        <w:spacing w:after="150" w:before="300"/>
      </w:pPr>
      <w:r>
        <w:t xml:space="preserve">1.1 High-level diagram (textual)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[ React + TS frontend ]  --REST/JWT--&gt;  [ Express API + Prisma ]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       |             |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[ Supabase Postgres ]  [ AI provider (optional) ]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  users, articles,        OpenAI / Gemini / Claude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  resources, search_history   or keyword fallback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2. Component breakdown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0F2A47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550"/>
            <w:shd w:fill="0F2A47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(React)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Renders all pages, handles routing, calls backend REST API, stores JWT in memory/localStorage, shows loading &amp; error states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(Express)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Auth, validation (zod), CRUD for articles/resources, AI search orchestration, rate limiting, dashboard stats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Prisma ORM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Type-safe database access and schema migrations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Supabase Postgres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Persistent storage: users, articles, resources, search history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provider layer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Given a query + retrieved article context, returns a generated answer; swappable between OpenAI, Gemini, Claude, or none</w:t>
            </w:r>
          </w:p>
        </w:tc>
      </w:tr>
    </w:tbl>
    <w:p>
      <w:pPr>
        <w:pStyle w:val="Heading1"/>
        <w:spacing w:after="150" w:before="300"/>
      </w:pPr>
      <w:r>
        <w:t xml:space="preserve">3. API design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4250"/>
      </w:tblGrid>
      <w:tr>
        <w:tc>
          <w:tcPr>
            <w:tcW w:type="dxa" w:w="3400"/>
            <w:shd w:fill="0F2A47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1700"/>
            <w:shd w:fill="0F2A47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250"/>
            <w:shd w:fill="0F2A47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 /api/auth/register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account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 in, receive JWT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 /api/articles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 articles (filter by category/query)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 /api/articles/:id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 article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 /api/articles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article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PUT /api/articles/:id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 article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DELETE /api/articles/:id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Delete article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 /api/resources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 resources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 /api/resources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resource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PUT /api/resources/:id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 resource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DELETE /api/resources/:id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Delete resource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 /api/search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Optional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Ask the AI search a question; logs to history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 /api/search/history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Logged-in user's past searches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 /api/dashboard/stats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4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Usage statistics for the admin dashboard</w:t>
            </w:r>
          </w:p>
        </w:tc>
      </w:tr>
    </w:tbl>
    <w:p>
      <w:pPr>
        <w:pStyle w:val="Heading1"/>
        <w:spacing w:after="150" w:before="300"/>
      </w:pPr>
      <w:r>
        <w:t xml:space="preserve">4. Database design</w:t>
      </w:r>
    </w:p>
    <w:p>
      <w:pPr>
        <w:spacing w:after="120"/>
      </w:pPr>
      <w:r>
        <w:t xml:space="preserve">Four core tables, managed through Prisma migrations against Supabase Postgres.</w:t>
      </w:r>
    </w:p>
    <w:p>
      <w:pPr>
        <w:pStyle w:val="Heading2"/>
        <w:spacing w:after="150" w:before="300"/>
      </w:pPr>
      <w:r>
        <w:t xml:space="preserve">4.1 users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50"/>
      </w:tblGrid>
      <w:tr>
        <w:tc>
          <w:tcPr>
            <w:tcW w:type="dxa" w:w="2600"/>
            <w:shd w:fill="0F2A47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600"/>
            <w:shd w:fill="0F2A47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50"/>
            <w:shd w:fill="0F2A47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uuid, PK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Default: random UUID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text, unique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Required, used for login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passwordHash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bcrypt hash, never the raw password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enum(USER, ADMIN)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 USER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createdAt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 now()</w:t>
            </w:r>
          </w:p>
        </w:tc>
      </w:tr>
    </w:tbl>
    <w:p>
      <w:pPr>
        <w:pStyle w:val="Heading2"/>
        <w:spacing w:after="150" w:before="300"/>
      </w:pPr>
      <w:r>
        <w:t xml:space="preserve">4.2 articles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50"/>
      </w:tblGrid>
      <w:tr>
        <w:tc>
          <w:tcPr>
            <w:tcW w:type="dxa" w:w="2600"/>
            <w:shd w:fill="0F2A47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600"/>
            <w:shd w:fill="0F2A47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50"/>
            <w:shd w:fill="0F2A47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uuid, PK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title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e.g. registration, funding, hiring — indexed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summary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Short teaser shown in listings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content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article body, also used as AI search context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tags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text[]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Free-form keywords to improve retrieval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published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 true; drafts hidden from public API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createdAt / updatedAt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t xml:space="preserve">4.3 resources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50"/>
      </w:tblGrid>
      <w:tr>
        <w:tc>
          <w:tcPr>
            <w:tcW w:type="dxa" w:w="2600"/>
            <w:shd w:fill="0F2A47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600"/>
            <w:shd w:fill="0F2A47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50"/>
            <w:shd w:fill="0F2A47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uuid, PK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title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Indexed, matches article categories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url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External link, validated as a URL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 the resource is / why it's useful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createdAt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t xml:space="preserve">4.4 search_history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50"/>
      </w:tblGrid>
      <w:tr>
        <w:tc>
          <w:tcPr>
            <w:tcW w:type="dxa" w:w="2600"/>
            <w:shd w:fill="0F2A47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600"/>
            <w:shd w:fill="0F2A47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50"/>
            <w:shd w:fill="0F2A47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uuid, PK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userId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uuid, FK -&gt; users.id, nullable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Null for guest searches; set null on user delete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query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user's raw question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answer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generated (or fallback) answer, cached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createdAt</w:t>
            </w:r>
          </w:p>
        </w:tc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Used for dashboard's recent/top-query stats</w:t>
            </w:r>
          </w:p>
        </w:tc>
      </w:tr>
    </w:tbl>
    <w:p>
      <w:pPr>
        <w:pStyle w:val="Heading1"/>
        <w:spacing w:after="150" w:before="300"/>
      </w:pPr>
      <w:r>
        <w:t xml:space="preserve">5. AI search / RAG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User submits a natural-language question.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Backend scores all published articles by keyword overlap with the question and takes the top matches (retrieval).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If an AI provider key is configured, those articles are sent as context to the LLM with an instruction to answer only from that context (generation).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If no key is configured, or the provider call fails, the backend returns a direct extractive answer built from the top-matching article (graceful fallback — the feature never hard-fails).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The question and answer are written to search_history for analytics and, if logged in, the user's personal history.</w:t>
      </w:r>
    </w:p>
    <w:p>
      <w:pPr>
        <w:pStyle w:val="Heading1"/>
        <w:spacing w:after="150" w:before="300"/>
      </w:pPr>
      <w:r>
        <w:t xml:space="preserve">6. Security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Passwords hashed with bcrypt (10 rounds); never logged or returned in API responses.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JWT-based auth, 7-day expiry; admin routes double-checked with a role guard middleware.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write endpoints validate input with zod schemas before touching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(20 requests/minute) on the AI search endpoint to prevent abuse of the LLM provider quota.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CORS restricted to the deployed frontend origin only.</w:t>
      </w:r>
    </w:p>
    <w:p>
      <w:pPr>
        <w:pStyle w:val="Heading1"/>
        <w:spacing w:after="150" w:before="300"/>
      </w:pPr>
      <w:r>
        <w:t xml:space="preserve">7. Deployment architecture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50"/>
      </w:tblGrid>
      <w:tr>
        <w:tc>
          <w:tcPr>
            <w:tcW w:type="dxa" w:w="2200"/>
            <w:shd w:fill="0F2A47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600"/>
            <w:shd w:fill="0F2A47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4550"/>
            <w:shd w:fill="0F2A47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Free tier notes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Vercel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Auto-deploy from GitHub, generous free tier for static/SPA hosting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Render or Railway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 web service tier; may sleep after inactivity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Supabase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 Postgres project, includes connection pooling</w:t>
            </w:r>
          </w:p>
        </w:tc>
      </w:tr>
    </w:tbl>
    <w:p>
      <w:pPr>
        <w:pStyle w:val="Heading1"/>
        <w:spacing w:after="150" w:before="300"/>
      </w:pPr>
      <w:r>
        <w:t xml:space="preserve">8. UI/UX &amp; visual direction (summary)</w:t>
      </w:r>
    </w:p>
    <w:p>
      <w:pPr>
        <w:spacing w:after="120"/>
      </w:pPr>
      <w:r>
        <w:t xml:space="preserve">Full detail lives in the frontend-design notes, summarised here for reference.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Palette: deep navy (#0F2A47) as the primary brand color, warm gold (#B8862F) as the accent, warm off-white (#F7F5F0) background — evokes a compass/map, fitting a "navigator" product, while staying distinct from generic AI-app defaults.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Typography: a confident serif for headings (editorial, trustworthy) paired with a clean sans body face for readability.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Layout: card-based topic grid on Explore, a focused single-input hero for AI Search, sidebar-based admin panel.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async action (search, article list, login) has a distinct loading skeleton and a specific, actionable error message — never a bare 'Something went wrong'.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2026-07-16T07:27:25.222Z</dcterms:created>
  <dcterms:modified xsi:type="dcterms:W3CDTF">2026-07-16T07:27:25.223Z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