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sz w:val="20"/>
          <w:szCs w:val="20"/>
        </w:rPr>
        <w:t xml:space="preserve"/>
      </w:r>
    </w:p>
    <w:p>
      <w:pPr>
        <w:spacing w:before="0" w:after="0"/>
      </w:pPr>
      <w:r>
        <w:rPr>
          <w:rFonts w:ascii="Arial" w:cs="Arial" w:eastAsia="Arial" w:hAnsi="Arial"/>
          <w:sz w:val="20"/>
          <w:szCs w:val="20"/>
        </w:rPr>
        <w:t xml:space="preserve"/>
      </w:r>
    </w:p>
    <w:p>
      <w:pPr>
        <w:spacing w:before="0" w:after="0"/>
      </w:pPr>
      <w:r>
        <w:rPr>
          <w:rFonts w:ascii="Arial" w:cs="Arial" w:eastAsia="Arial" w:hAnsi="Arial"/>
          <w:sz w:val="20"/>
          <w:szCs w:val="20"/>
        </w:rPr>
        <w:t xml:space="preserve"/>
      </w:r>
    </w:p>
    <w:p>
      <w:pPr>
        <w:spacing w:before="0" w:after="120"/>
        <w:jc w:val="center"/>
      </w:pPr>
      <w:r>
        <w:rPr>
          <w:rFonts w:ascii="Arial" w:cs="Arial" w:eastAsia="Arial" w:hAnsi="Arial"/>
          <w:b/>
          <w:bCs/>
          <w:color w:val="1E3A5F"/>
          <w:sz w:val="44"/>
          <w:szCs w:val="44"/>
        </w:rPr>
        <w:t xml:space="preserve">URBAN HEAT ISLAND INTENSITY PREDICTOR</w:t>
      </w:r>
    </w:p>
    <w:p>
      <w:pPr>
        <w:pBdr>
          <w:bottom w:val="single" w:color="2563A8" w:sz="10" w:space="10"/>
        </w:pBdr>
        <w:spacing w:before="0" w:after="60"/>
        <w:jc w:val="center"/>
      </w:pPr>
      <w:r>
        <w:rPr>
          <w:rFonts w:ascii="Arial" w:cs="Arial" w:eastAsia="Arial" w:hAnsi="Arial"/>
          <w:i/>
          <w:iCs/>
          <w:color w:val="2563A8"/>
          <w:sz w:val="28"/>
          <w:szCs w:val="28"/>
        </w:rPr>
        <w:t xml:space="preserve">Exploratory Data Analysis Report</w:t>
      </w:r>
    </w:p>
    <w:p>
      <w:pPr>
        <w:spacing w:before="0" w:after="0"/>
      </w:pPr>
      <w:r>
        <w:rPr>
          <w:rFonts w:ascii="Arial" w:cs="Arial" w:eastAsia="Arial" w:hAnsi="Arial"/>
          <w:sz w:val="20"/>
          <w:szCs w:val="20"/>
        </w:rPr>
        <w:t xml:space="preserve"/>
      </w:r>
    </w:p>
    <w:p>
      <w:pPr>
        <w:spacing w:before="80" w:after="60"/>
        <w:jc w:val="center"/>
      </w:pPr>
      <w:r>
        <w:rPr>
          <w:rFonts w:ascii="Arial" w:cs="Arial" w:eastAsia="Arial" w:hAnsi="Arial"/>
          <w:color w:val="444444"/>
          <w:sz w:val="22"/>
          <w:szCs w:val="22"/>
        </w:rPr>
        <w:t xml:space="preserve">Study City: Delhi, India   |   Analysis Period: 2019–2023</w:t>
      </w:r>
    </w:p>
    <w:p>
      <w:pPr>
        <w:spacing w:before="40" w:after="40"/>
        <w:jc w:val="center"/>
      </w:pPr>
      <w:r>
        <w:rPr>
          <w:rFonts w:ascii="Arial" w:cs="Arial" w:eastAsia="Arial" w:hAnsi="Arial"/>
          <w:color w:val="666666"/>
          <w:sz w:val="20"/>
          <w:szCs w:val="20"/>
        </w:rPr>
        <w:t xml:space="preserve">Course: Data-Driven Startup Analysis  |  Team Project  |  April 2025</w:t>
      </w:r>
    </w:p>
    <w:p>
      <w:pPr>
        <w:spacing w:before="0" w:after="0"/>
      </w:pPr>
      <w:r>
        <w:rPr>
          <w:rFonts w:ascii="Arial" w:cs="Arial" w:eastAsia="Arial" w:hAnsi="Arial"/>
          <w:sz w:val="20"/>
          <w:szCs w:val="20"/>
        </w:rPr>
        <w:t xml:space="preserve"/>
      </w:r>
    </w:p>
    <w:p>
      <w:pPr>
        <w:spacing w:before="0" w:after="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il" w:color="FFFFFF" w:sz="0"/>
              <w:left w:val="thick" w:color="2563A8" w:sz="12"/>
              <w:bottom w:val="nil" w:color="FFFFFF" w:sz="0"/>
              <w:right w:val="nil" w:color="FFFFFF" w:sz="0"/>
            </w:tcBorders>
            <w:shd w:fill="EFF4FB" w:val="clear"/>
            <w:tcMar>
              <w:top w:type="dxa" w:w="80"/>
              <w:left w:type="dxa" w:w="180"/>
              <w:bottom w:type="dxa" w:w="80"/>
              <w:right w:type="dxa" w:w="140"/>
            </w:tcMar>
          </w:tcPr>
          <w:p>
            <w:pPr>
              <w:spacing w:before="60" w:after="30"/>
            </w:pPr>
            <w:r>
              <w:rPr>
                <w:rFonts w:ascii="Arial" w:cs="Arial" w:eastAsia="Arial" w:hAnsi="Arial"/>
                <w:b/>
                <w:bCs/>
                <w:color w:val="1E3A5F"/>
                <w:sz w:val="20"/>
                <w:szCs w:val="20"/>
              </w:rPr>
              <w:t xml:space="preserve">Team Members</w:t>
            </w:r>
          </w:p>
        </w:tc>
      </w:tr>
      <w:tr>
        <w:tc>
          <w:tcPr>
            <w:tcW w:type="dxa" w:w="9720"/>
            <w:tcBorders>
              <w:top w:val="nil" w:color="FFFFFF" w:sz="0"/>
              <w:left w:val="thick" w:color="2563A8" w:sz="12"/>
              <w:bottom w:val="nil" w:color="FFFFFF" w:sz="0"/>
              <w:right w:val="nil" w:color="FFFFFF" w:sz="0"/>
            </w:tcBorders>
            <w:shd w:fill="EFF4FB" w:val="clear"/>
            <w:tcMar>
              <w:top w:type="dxa" w:w="80"/>
              <w:left w:type="dxa" w:w="180"/>
              <w:bottom w:type="dxa" w:w="80"/>
              <w:right w:type="dxa" w:w="140"/>
            </w:tcMar>
          </w:tcPr>
          <w:p>
            <w:pPr>
              <w:spacing w:before="30" w:after="30"/>
            </w:pPr>
            <w:r>
              <w:rPr>
                <w:rFonts w:ascii="Arial" w:cs="Arial" w:eastAsia="Arial" w:hAnsi="Arial"/>
                <w:sz w:val="20"/>
                <w:szCs w:val="20"/>
              </w:rPr>
              <w:t xml:space="preserve">Person 1  —  Data Acquisition &amp; GIS Processing</w:t>
            </w:r>
          </w:p>
        </w:tc>
      </w:tr>
      <w:tr>
        <w:tc>
          <w:tcPr>
            <w:tcW w:type="dxa" w:w="9720"/>
            <w:tcBorders>
              <w:top w:val="nil" w:color="FFFFFF" w:sz="0"/>
              <w:left w:val="thick" w:color="2563A8" w:sz="12"/>
              <w:bottom w:val="nil" w:color="FFFFFF" w:sz="0"/>
              <w:right w:val="nil" w:color="FFFFFF" w:sz="0"/>
            </w:tcBorders>
            <w:shd w:fill="EFF4FB" w:val="clear"/>
            <w:tcMar>
              <w:top w:type="dxa" w:w="80"/>
              <w:left w:type="dxa" w:w="180"/>
              <w:bottom w:type="dxa" w:w="80"/>
              <w:right w:type="dxa" w:w="140"/>
            </w:tcMar>
          </w:tcPr>
          <w:p>
            <w:pPr>
              <w:spacing w:before="30" w:after="30"/>
            </w:pPr>
            <w:r>
              <w:rPr>
                <w:rFonts w:ascii="Arial" w:cs="Arial" w:eastAsia="Arial" w:hAnsi="Arial"/>
                <w:sz w:val="20"/>
                <w:szCs w:val="20"/>
              </w:rPr>
              <w:t xml:space="preserve">Person 2  —  Statistical Modelling &amp; Feature Engineering</w:t>
            </w:r>
          </w:p>
        </w:tc>
      </w:tr>
      <w:tr>
        <w:tc>
          <w:tcPr>
            <w:tcW w:type="dxa" w:w="9720"/>
            <w:tcBorders>
              <w:top w:val="nil" w:color="FFFFFF" w:sz="0"/>
              <w:left w:val="thick" w:color="2563A8" w:sz="12"/>
              <w:bottom w:val="single" w:color="2563A8" w:sz="1"/>
              <w:right w:val="nil" w:color="FFFFFF" w:sz="0"/>
            </w:tcBorders>
            <w:shd w:fill="EFF4FB" w:val="clear"/>
            <w:tcMar>
              <w:top w:type="dxa" w:w="80"/>
              <w:left w:type="dxa" w:w="180"/>
              <w:bottom w:type="dxa" w:w="80"/>
              <w:right w:type="dxa" w:w="140"/>
            </w:tcMar>
          </w:tcPr>
          <w:p>
            <w:pPr>
              <w:spacing w:before="30" w:after="30"/>
            </w:pPr>
            <w:r>
              <w:rPr>
                <w:rFonts w:ascii="Arial" w:cs="Arial" w:eastAsia="Arial" w:hAnsi="Arial"/>
                <w:sz w:val="20"/>
                <w:szCs w:val="20"/>
              </w:rPr>
              <w:t xml:space="preserve">Person 3  —  Visualisation &amp; Dashboard Development</w:t>
            </w:r>
          </w:p>
        </w:tc>
      </w:tr>
      <w:tr>
        <w:tc>
          <w:tcPr>
            <w:tcW w:type="dxa" w:w="9720"/>
            <w:tcBorders>
              <w:top w:val="nil" w:color="FFFFFF" w:sz="0"/>
              <w:left w:val="thick" w:color="2563A8" w:sz="12"/>
              <w:bottom w:val="single" w:color="2563A8" w:sz="1"/>
              <w:right w:val="nil" w:color="FFFFFF" w:sz="0"/>
            </w:tcBorders>
            <w:shd w:fill="EFF4FB" w:val="clear"/>
            <w:tcMar>
              <w:top w:type="dxa" w:w="80"/>
              <w:left w:type="dxa" w:w="180"/>
              <w:bottom w:type="dxa" w:w="80"/>
              <w:right w:type="dxa" w:w="140"/>
            </w:tcMar>
          </w:tcPr>
          <w:p>
            <w:pPr>
              <w:spacing w:before="30" w:after="30"/>
            </w:pPr>
            <w:r>
              <w:rPr>
                <w:rFonts w:ascii="Arial" w:cs="Arial" w:eastAsia="Arial" w:hAnsi="Arial"/>
                <w:sz w:val="20"/>
                <w:szCs w:val="20"/>
              </w:rPr>
              <w:t xml:space="preserve">Person 4  —  Literature Review &amp; Policy Analysis</w:t>
            </w:r>
          </w:p>
        </w:tc>
      </w:tr>
    </w:tbl>
    <w:p>
      <w:pPr>
        <w:spacing w:before="0" w:after="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il" w:color="FFFFFF" w:sz="0"/>
              <w:left w:val="thick" w:color="EF9F27" w:sz="12"/>
              <w:bottom w:val="nil" w:color="FFFFFF" w:sz="0"/>
              <w:right w:val="nil" w:color="FFFFFF" w:sz="0"/>
            </w:tcBorders>
            <w:shd w:fill="FFF8E7" w:val="clear"/>
            <w:tcMar>
              <w:top w:type="dxa" w:w="80"/>
              <w:left w:type="dxa" w:w="180"/>
              <w:bottom w:type="dxa" w:w="80"/>
              <w:right w:type="dxa" w:w="140"/>
            </w:tcMar>
          </w:tcPr>
          <w:p>
            <w:pPr>
              <w:spacing w:before="60" w:after="30"/>
            </w:pPr>
            <w:r>
              <w:rPr>
                <w:rFonts w:ascii="Arial" w:cs="Arial" w:eastAsia="Arial" w:hAnsi="Arial"/>
                <w:b/>
                <w:bCs/>
                <w:color w:val="1E3A5F"/>
                <w:sz w:val="20"/>
                <w:szCs w:val="20"/>
              </w:rPr>
              <w:t xml:space="preserve">Sustainable Development Goal Alignment</w:t>
            </w:r>
          </w:p>
        </w:tc>
      </w:tr>
      <w:tr>
        <w:tc>
          <w:tcPr>
            <w:tcW w:type="dxa" w:w="9720"/>
            <w:tcBorders>
              <w:top w:val="nil" w:color="FFFFFF" w:sz="0"/>
              <w:left w:val="thick" w:color="EF9F27" w:sz="12"/>
              <w:bottom w:val="nil" w:color="FFFFFF" w:sz="0"/>
              <w:right w:val="nil" w:color="FFFFFF" w:sz="0"/>
            </w:tcBorders>
            <w:shd w:fill="FFF8E7" w:val="clear"/>
            <w:tcMar>
              <w:top w:type="dxa" w:w="80"/>
              <w:left w:type="dxa" w:w="180"/>
              <w:bottom w:type="dxa" w:w="80"/>
              <w:right w:type="dxa" w:w="140"/>
            </w:tcMar>
          </w:tcPr>
          <w:p>
            <w:pPr>
              <w:spacing w:before="30" w:after="30"/>
            </w:pPr>
            <w:r>
              <w:rPr>
                <w:rFonts w:ascii="Arial" w:cs="Arial" w:eastAsia="Arial" w:hAnsi="Arial"/>
                <w:sz w:val="20"/>
                <w:szCs w:val="20"/>
              </w:rPr>
              <w:t xml:space="preserve">SDG 11 — Sustainable Cities: Identifying heat-vulnerable wards for targeted cooling interventions</w:t>
            </w:r>
          </w:p>
        </w:tc>
      </w:tr>
      <w:tr>
        <w:tc>
          <w:tcPr>
            <w:tcW w:type="dxa" w:w="9720"/>
            <w:tcBorders>
              <w:top w:val="nil" w:color="FFFFFF" w:sz="0"/>
              <w:left w:val="thick" w:color="EF9F27" w:sz="12"/>
              <w:bottom w:val="nil" w:color="FFFFFF" w:sz="0"/>
              <w:right w:val="nil" w:color="FFFFFF" w:sz="0"/>
            </w:tcBorders>
            <w:shd w:fill="FFF8E7" w:val="clear"/>
            <w:tcMar>
              <w:top w:type="dxa" w:w="80"/>
              <w:left w:type="dxa" w:w="180"/>
              <w:bottom w:type="dxa" w:w="80"/>
              <w:right w:type="dxa" w:w="140"/>
            </w:tcMar>
          </w:tcPr>
          <w:p>
            <w:pPr>
              <w:spacing w:before="30" w:after="30"/>
            </w:pPr>
            <w:r>
              <w:rPr>
                <w:rFonts w:ascii="Arial" w:cs="Arial" w:eastAsia="Arial" w:hAnsi="Arial"/>
                <w:sz w:val="20"/>
                <w:szCs w:val="20"/>
              </w:rPr>
              <w:t xml:space="preserve">SDG 13 — Climate Action: Quantifying urban warming trends and green-cover cooling potential</w:t>
            </w:r>
          </w:p>
        </w:tc>
      </w:tr>
      <w:tr>
        <w:tc>
          <w:tcPr>
            <w:tcW w:type="dxa" w:w="9720"/>
            <w:tcBorders>
              <w:top w:val="nil" w:color="FFFFFF" w:sz="0"/>
              <w:left w:val="thick" w:color="EF9F27" w:sz="12"/>
              <w:bottom w:val="single" w:color="EF9F27" w:sz="1"/>
              <w:right w:val="nil" w:color="FFFFFF" w:sz="0"/>
            </w:tcBorders>
            <w:shd w:fill="FFF8E7" w:val="clear"/>
            <w:tcMar>
              <w:top w:type="dxa" w:w="80"/>
              <w:left w:type="dxa" w:w="180"/>
              <w:bottom w:type="dxa" w:w="80"/>
              <w:right w:type="dxa" w:w="140"/>
            </w:tcMar>
          </w:tcPr>
          <w:p>
            <w:pPr>
              <w:spacing w:before="30" w:after="30"/>
            </w:pPr>
            <w:r>
              <w:rPr>
                <w:rFonts w:ascii="Arial" w:cs="Arial" w:eastAsia="Arial" w:hAnsi="Arial"/>
                <w:sz w:val="20"/>
                <w:szCs w:val="20"/>
              </w:rPr>
              <w:t xml:space="preserve">SDG 10 — Reduced Inequalities: Dense, low-income wards bear disproportionate heat burden</w:t>
            </w:r>
          </w:p>
        </w:tc>
      </w:tr>
    </w:tbl>
    <w:p>
      <w:pPr>
        <w:pageBreakBefore/>
      </w:pPr>
      <w:r>
        <w:rPr>
          <w:rFonts w:ascii="Arial" w:cs="Arial" w:eastAsia="Arial" w:hAnsi="Arial"/>
          <w:sz w:val="20"/>
          <w:szCs w:val="20"/>
        </w:rPr>
        <w:t xml:space="preserve"/>
      </w:r>
    </w:p>
    <w:p>
      <w:pPr>
        <w:pStyle w:val="Heading1"/>
        <w:pBdr>
          <w:bottom w:val="single" w:color="2563A8" w:sz="8" w:space="6"/>
        </w:pBdr>
        <w:spacing w:before="400" w:after="160"/>
      </w:pPr>
      <w:r>
        <w:rPr>
          <w:rFonts w:ascii="Arial" w:cs="Arial" w:eastAsia="Arial" w:hAnsi="Arial"/>
          <w:b/>
          <w:bCs/>
          <w:color w:val="1E3A5F"/>
          <w:sz w:val="32"/>
          <w:szCs w:val="32"/>
        </w:rPr>
        <w:t xml:space="preserve">Abstract</w:t>
      </w:r>
    </w:p>
    <w:p>
      <w:pPr>
        <w:spacing w:before="80" w:after="120"/>
        <w:jc w:val="both"/>
      </w:pPr>
      <w:r>
        <w:rPr>
          <w:rFonts w:ascii="Arial" w:cs="Arial" w:eastAsia="Arial" w:hAnsi="Arial"/>
          <w:sz w:val="20"/>
          <w:szCs w:val="20"/>
        </w:rPr>
        <w:t xml:space="preserve">This report presents a comprehensive Exploratory Data Analysis (EDA) of the Urban Heat Island (UHI) phenomenon in Delhi, India, covering the period January 2019 to December 2023. Using multi-source satellite datasets — MODIS Land Surface Temperature (LST), Landsat-8 Normalized Difference Vegetation Index (NDVI), ESA WorldCover land use classification, and Census population data — we characterise the spatial, temporal, and feature-level patterns of UHI intensity across 40 ward-level study units.</w:t>
      </w:r>
    </w:p>
    <w:p>
      <w:pPr>
        <w:spacing w:before="80" w:after="120"/>
        <w:jc w:val="both"/>
      </w:pPr>
      <w:r>
        <w:rPr>
          <w:rFonts w:ascii="Arial" w:cs="Arial" w:eastAsia="Arial" w:hAnsi="Arial"/>
          <w:sz w:val="20"/>
          <w:szCs w:val="20"/>
        </w:rPr>
        <w:t xml:space="preserve">Key findings reveal a strong negative correlation between NDVI and LST (r = −0.74, p &lt; 0.001), identifying vegetation cover as the single most powerful cooling driver. Industrial wards exhibit mean UHI intensities 4.2°C above vegetated counterparts, while a long-term warming trend of +0.25°C per year is observed in peak-season temperatures. The COVID-19 lockdown of 2020 produced a transient cooling anomaly of approximately 1.8°C, confirming that anthropogenic activity drives a measurable fraction of the UHI signal beyond built form alone. These findings directly inform a ward-level Heat Risk Index and lay the analytical foundation for a machine-learning-based UHI intensity predictor for Indian cities.</w:t>
      </w:r>
    </w:p>
    <w:p>
      <w:pPr>
        <w:pageBreakBefore/>
      </w:pPr>
      <w:r>
        <w:rPr>
          <w:rFonts w:ascii="Arial" w:cs="Arial" w:eastAsia="Arial" w:hAnsi="Arial"/>
          <w:sz w:val="20"/>
          <w:szCs w:val="20"/>
        </w:rPr>
        <w:t xml:space="preserve"/>
      </w:r>
    </w:p>
    <w:p>
      <w:pPr>
        <w:pStyle w:val="Heading1"/>
        <w:pBdr>
          <w:bottom w:val="single" w:color="2563A8" w:sz="8" w:space="6"/>
        </w:pBdr>
        <w:spacing w:before="400" w:after="160"/>
      </w:pPr>
      <w:r>
        <w:rPr>
          <w:rFonts w:ascii="Arial" w:cs="Arial" w:eastAsia="Arial" w:hAnsi="Arial"/>
          <w:b/>
          <w:bCs/>
          <w:color w:val="1E3A5F"/>
          <w:sz w:val="32"/>
          <w:szCs w:val="32"/>
        </w:rPr>
        <w:t xml:space="preserve">1.  Problem Statement &amp; Motivation</w:t>
      </w:r>
    </w:p>
    <w:p>
      <w:pPr>
        <w:pStyle w:val="Heading2"/>
        <w:spacing w:before="280" w:after="100"/>
      </w:pPr>
      <w:r>
        <w:rPr>
          <w:rFonts w:ascii="Arial" w:cs="Arial" w:eastAsia="Arial" w:hAnsi="Arial"/>
          <w:b/>
          <w:bCs/>
          <w:color w:val="2563A8"/>
          <w:sz w:val="26"/>
          <w:szCs w:val="26"/>
        </w:rPr>
        <w:t xml:space="preserve">1.1  Background</w:t>
      </w:r>
    </w:p>
    <w:p>
      <w:pPr>
        <w:spacing w:before="80" w:after="120"/>
        <w:jc w:val="both"/>
      </w:pPr>
      <w:r>
        <w:rPr>
          <w:rFonts w:ascii="Arial" w:cs="Arial" w:eastAsia="Arial" w:hAnsi="Arial"/>
          <w:sz w:val="20"/>
          <w:szCs w:val="20"/>
        </w:rPr>
        <w:t xml:space="preserve">India is home to 9 of the world's 10 most polluted cities and is among the fastest-urbanising nations on Earth. Delhi — population exceeding 32 million — experiences summer temperatures that routinely surpass 45°C, placing millions of residents, particularly in dense low-income wards, at severe risk of heat-related illness and mortality. The Urban Heat Island (UHI) effect is the phenomenon by which urban surfaces are measurably warmer than surrounding rural areas, driven by impervious surface absorption, reduced evapotranspiration from loss of vegetation, and anthropogenic heat generation from traffic, industry, and air conditioning.</w:t>
      </w:r>
    </w:p>
    <w:p>
      <w:pPr>
        <w:spacing w:before="80" w:after="120"/>
        <w:jc w:val="both"/>
      </w:pPr>
      <w:r>
        <w:rPr>
          <w:rFonts w:ascii="Arial" w:cs="Arial" w:eastAsia="Arial" w:hAnsi="Arial"/>
          <w:sz w:val="20"/>
          <w:szCs w:val="20"/>
        </w:rPr>
        <w:t xml:space="preserve">Despite the severity of the problem, Indian city administrations currently lack ward-level, data-driven heat risk maps that would allow targeted cooling interventions such as tree-planting programmes, cool-roof mandates, or restriction of surface parking in the highest-risk zones. This project addresses that gap by combining satellite remote sensing with geospatial data analytics to produce actionable, ward-level UHI intensity estimates.</w:t>
      </w:r>
    </w:p>
    <w:p>
      <w:pPr>
        <w:pStyle w:val="Heading2"/>
        <w:spacing w:before="280" w:after="100"/>
      </w:pPr>
      <w:r>
        <w:rPr>
          <w:rFonts w:ascii="Arial" w:cs="Arial" w:eastAsia="Arial" w:hAnsi="Arial"/>
          <w:b/>
          <w:bCs/>
          <w:color w:val="2563A8"/>
          <w:sz w:val="26"/>
          <w:szCs w:val="26"/>
        </w:rPr>
        <w:t xml:space="preserve">1.2  Research Questions</w:t>
      </w:r>
    </w:p>
    <w:p>
      <w:pPr>
        <w:spacing w:before="80" w:after="120"/>
        <w:jc w:val="both"/>
      </w:pPr>
      <w:r>
        <w:rPr>
          <w:rFonts w:ascii="Arial" w:cs="Arial" w:eastAsia="Arial" w:hAnsi="Arial"/>
          <w:sz w:val="20"/>
          <w:szCs w:val="20"/>
        </w:rPr>
        <w:t xml:space="preserve">This EDA is designed to answer four core analytical questions:</w:t>
      </w:r>
    </w:p>
    <w:p>
      <w:pPr>
        <w:pStyle w:val="ListParagraph"/>
        <w:numPr>
          <w:ilvl w:val="0"/>
          <w:numId w:val="2"/>
        </w:numPr>
        <w:spacing w:before="60" w:after="60"/>
      </w:pPr>
      <w:r>
        <w:rPr>
          <w:rFonts w:ascii="Arial" w:cs="Arial" w:eastAsia="Arial" w:hAnsi="Arial"/>
          <w:sz w:val="20"/>
          <w:szCs w:val="20"/>
        </w:rPr>
        <w:t xml:space="preserve">What is the spatial distribution of UHI intensity across Delhi's wards, and which areas are at highest risk?</w:t>
      </w:r>
    </w:p>
    <w:p>
      <w:pPr>
        <w:pStyle w:val="ListParagraph"/>
        <w:numPr>
          <w:ilvl w:val="0"/>
          <w:numId w:val="2"/>
        </w:numPr>
        <w:spacing w:before="60" w:after="60"/>
      </w:pPr>
      <w:r>
        <w:rPr>
          <w:rFonts w:ascii="Arial" w:cs="Arial" w:eastAsia="Arial" w:hAnsi="Arial"/>
          <w:sz w:val="20"/>
          <w:szCs w:val="20"/>
        </w:rPr>
        <w:t xml:space="preserve">Which environmental variables — NDVI, built-up area, population density — most strongly predict mean LST?</w:t>
      </w:r>
    </w:p>
    <w:p>
      <w:pPr>
        <w:pStyle w:val="ListParagraph"/>
        <w:numPr>
          <w:ilvl w:val="0"/>
          <w:numId w:val="2"/>
        </w:numPr>
        <w:spacing w:before="60" w:after="60"/>
      </w:pPr>
      <w:r>
        <w:rPr>
          <w:rFonts w:ascii="Arial" w:cs="Arial" w:eastAsia="Arial" w:hAnsi="Arial"/>
          <w:sz w:val="20"/>
          <w:szCs w:val="20"/>
        </w:rPr>
        <w:t xml:space="preserve">How has UHI intensity changed seasonally and year-over-year between 2019 and 2023?</w:t>
      </w:r>
    </w:p>
    <w:p>
      <w:pPr>
        <w:pStyle w:val="ListParagraph"/>
        <w:numPr>
          <w:ilvl w:val="0"/>
          <w:numId w:val="2"/>
        </w:numPr>
        <w:spacing w:before="60" w:after="60"/>
      </w:pPr>
      <w:r>
        <w:rPr>
          <w:rFonts w:ascii="Arial" w:cs="Arial" w:eastAsia="Arial" w:hAnsi="Arial"/>
          <w:sz w:val="20"/>
          <w:szCs w:val="20"/>
        </w:rPr>
        <w:t xml:space="preserve">Can a composite Heat Risk Index reliably classify wards by intervention priority?</w:t>
      </w:r>
    </w:p>
    <w:p>
      <w:pPr>
        <w:pStyle w:val="Heading2"/>
        <w:spacing w:before="280" w:after="100"/>
      </w:pPr>
      <w:r>
        <w:rPr>
          <w:rFonts w:ascii="Arial" w:cs="Arial" w:eastAsia="Arial" w:hAnsi="Arial"/>
          <w:b/>
          <w:bCs/>
          <w:color w:val="2563A8"/>
          <w:sz w:val="26"/>
          <w:szCs w:val="26"/>
        </w:rPr>
        <w:t xml:space="preserve">1.3  Formal Definition</w:t>
      </w:r>
    </w:p>
    <w:p>
      <w:pPr>
        <w:spacing w:before="0" w:after="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il" w:color="FFFFFF" w:sz="0"/>
              <w:left w:val="thick" w:color="2563A8" w:sz="12"/>
              <w:bottom w:val="nil" w:color="FFFFFF" w:sz="0"/>
              <w:right w:val="nil" w:color="FFFFFF" w:sz="0"/>
            </w:tcBorders>
            <w:shd w:fill="EFF4FB" w:val="clear"/>
            <w:tcMar>
              <w:top w:type="dxa" w:w="80"/>
              <w:left w:type="dxa" w:w="180"/>
              <w:bottom w:type="dxa" w:w="80"/>
              <w:right w:type="dxa" w:w="140"/>
            </w:tcMar>
          </w:tcPr>
          <w:p>
            <w:pPr>
              <w:spacing w:before="60" w:after="30"/>
            </w:pPr>
            <w:r>
              <w:rPr>
                <w:rFonts w:ascii="Arial" w:cs="Arial" w:eastAsia="Arial" w:hAnsi="Arial"/>
                <w:b/>
                <w:bCs/>
                <w:color w:val="1E3A5F"/>
                <w:sz w:val="20"/>
                <w:szCs w:val="20"/>
              </w:rPr>
              <w:t xml:space="preserve">UHI Intensity (°C) = LST_ward − LST_rural_baseline</w:t>
            </w:r>
          </w:p>
        </w:tc>
      </w:tr>
      <w:tr>
        <w:tc>
          <w:tcPr>
            <w:tcW w:type="dxa" w:w="9720"/>
            <w:tcBorders>
              <w:top w:val="nil" w:color="FFFFFF" w:sz="0"/>
              <w:left w:val="thick" w:color="2563A8" w:sz="12"/>
              <w:bottom w:val="nil" w:color="FFFFFF" w:sz="0"/>
              <w:right w:val="nil" w:color="FFFFFF" w:sz="0"/>
            </w:tcBorders>
            <w:shd w:fill="EFF4FB" w:val="clear"/>
            <w:tcMar>
              <w:top w:type="dxa" w:w="80"/>
              <w:left w:type="dxa" w:w="180"/>
              <w:bottom w:type="dxa" w:w="80"/>
              <w:right w:type="dxa" w:w="140"/>
            </w:tcMar>
          </w:tcPr>
          <w:p>
            <w:pPr>
              <w:spacing w:before="30" w:after="30"/>
            </w:pPr>
            <w:r>
              <w:rPr>
                <w:rFonts w:ascii="Arial" w:cs="Arial" w:eastAsia="Arial" w:hAnsi="Arial"/>
                <w:sz w:val="20"/>
                <w:szCs w:val="20"/>
              </w:rPr>
              <w:t xml:space="preserve"/>
            </w:r>
          </w:p>
        </w:tc>
      </w:tr>
      <w:tr>
        <w:tc>
          <w:tcPr>
            <w:tcW w:type="dxa" w:w="9720"/>
            <w:tcBorders>
              <w:top w:val="nil" w:color="FFFFFF" w:sz="0"/>
              <w:left w:val="thick" w:color="2563A8" w:sz="12"/>
              <w:bottom w:val="nil" w:color="FFFFFF" w:sz="0"/>
              <w:right w:val="nil" w:color="FFFFFF" w:sz="0"/>
            </w:tcBorders>
            <w:shd w:fill="EFF4FB" w:val="clear"/>
            <w:tcMar>
              <w:top w:type="dxa" w:w="80"/>
              <w:left w:type="dxa" w:w="180"/>
              <w:bottom w:type="dxa" w:w="80"/>
              <w:right w:type="dxa" w:w="140"/>
            </w:tcMar>
          </w:tcPr>
          <w:p>
            <w:pPr>
              <w:spacing w:before="30" w:after="30"/>
            </w:pPr>
            <w:r>
              <w:rPr>
                <w:rFonts w:ascii="Arial" w:cs="Arial" w:eastAsia="Arial" w:hAnsi="Arial"/>
                <w:sz w:val="20"/>
                <w:szCs w:val="20"/>
              </w:rPr>
              <w:t xml:space="preserve">LST_ward: mean Land Surface Temperature of the study ward in a given month</w:t>
            </w:r>
          </w:p>
        </w:tc>
      </w:tr>
      <w:tr>
        <w:tc>
          <w:tcPr>
            <w:tcW w:type="dxa" w:w="9720"/>
            <w:tcBorders>
              <w:top w:val="nil" w:color="FFFFFF" w:sz="0"/>
              <w:left w:val="thick" w:color="2563A8" w:sz="12"/>
              <w:bottom w:val="nil" w:color="FFFFFF" w:sz="0"/>
              <w:right w:val="nil" w:color="FFFFFF" w:sz="0"/>
            </w:tcBorders>
            <w:shd w:fill="EFF4FB" w:val="clear"/>
            <w:tcMar>
              <w:top w:type="dxa" w:w="80"/>
              <w:left w:type="dxa" w:w="180"/>
              <w:bottom w:type="dxa" w:w="80"/>
              <w:right w:type="dxa" w:w="140"/>
            </w:tcMar>
          </w:tcPr>
          <w:p>
            <w:pPr>
              <w:spacing w:before="30" w:after="30"/>
            </w:pPr>
            <w:r>
              <w:rPr>
                <w:rFonts w:ascii="Arial" w:cs="Arial" w:eastAsia="Arial" w:hAnsi="Arial"/>
                <w:sz w:val="20"/>
                <w:szCs w:val="20"/>
              </w:rPr>
              <w:t xml:space="preserve">LST_rural_baseline: mean LST of peri-urban vegetated pixels outside the city boundary</w:t>
            </w:r>
          </w:p>
        </w:tc>
      </w:tr>
      <w:tr>
        <w:tc>
          <w:tcPr>
            <w:tcW w:type="dxa" w:w="9720"/>
            <w:tcBorders>
              <w:top w:val="nil" w:color="FFFFFF" w:sz="0"/>
              <w:left w:val="thick" w:color="2563A8" w:sz="12"/>
              <w:bottom w:val="single" w:color="2563A8" w:sz="1"/>
              <w:right w:val="nil" w:color="FFFFFF" w:sz="0"/>
            </w:tcBorders>
            <w:shd w:fill="EFF4FB" w:val="clear"/>
            <w:tcMar>
              <w:top w:type="dxa" w:w="80"/>
              <w:left w:type="dxa" w:w="180"/>
              <w:bottom w:type="dxa" w:w="80"/>
              <w:right w:type="dxa" w:w="140"/>
            </w:tcMar>
          </w:tcPr>
          <w:p>
            <w:pPr>
              <w:spacing w:before="30" w:after="30"/>
            </w:pPr>
            <w:r>
              <w:rPr>
                <w:rFonts w:ascii="Arial" w:cs="Arial" w:eastAsia="Arial" w:hAnsi="Arial"/>
                <w:sz w:val="20"/>
                <w:szCs w:val="20"/>
              </w:rPr>
              <w:t xml:space="preserve">Reference: Arnfield (2003), International Journal of Climatology; Rodell et al. (2009), Nature</w:t>
            </w:r>
          </w:p>
        </w:tc>
      </w:tr>
    </w:tbl>
    <w:p>
      <w:pPr>
        <w:pageBreakBefore/>
      </w:pPr>
      <w:r>
        <w:rPr>
          <w:rFonts w:ascii="Arial" w:cs="Arial" w:eastAsia="Arial" w:hAnsi="Arial"/>
          <w:sz w:val="20"/>
          <w:szCs w:val="20"/>
        </w:rPr>
        <w:t xml:space="preserve"/>
      </w:r>
    </w:p>
    <w:p>
      <w:pPr>
        <w:pStyle w:val="Heading1"/>
        <w:pBdr>
          <w:bottom w:val="single" w:color="2563A8" w:sz="8" w:space="6"/>
        </w:pBdr>
        <w:spacing w:before="400" w:after="160"/>
      </w:pPr>
      <w:r>
        <w:rPr>
          <w:rFonts w:ascii="Arial" w:cs="Arial" w:eastAsia="Arial" w:hAnsi="Arial"/>
          <w:b/>
          <w:bCs/>
          <w:color w:val="1E3A5F"/>
          <w:sz w:val="32"/>
          <w:szCs w:val="32"/>
        </w:rPr>
        <w:t xml:space="preserve">2.  Dataset Description</w:t>
      </w:r>
    </w:p>
    <w:p>
      <w:pPr>
        <w:pStyle w:val="Heading2"/>
        <w:spacing w:before="280" w:after="100"/>
      </w:pPr>
      <w:r>
        <w:rPr>
          <w:rFonts w:ascii="Arial" w:cs="Arial" w:eastAsia="Arial" w:hAnsi="Arial"/>
          <w:b/>
          <w:bCs/>
          <w:color w:val="2563A8"/>
          <w:sz w:val="26"/>
          <w:szCs w:val="26"/>
        </w:rPr>
        <w:t xml:space="preserve">2.1  Data Sources</w:t>
      </w:r>
    </w:p>
    <w:p>
      <w:pPr>
        <w:spacing w:before="80" w:after="120"/>
        <w:jc w:val="both"/>
      </w:pPr>
      <w:r>
        <w:rPr>
          <w:rFonts w:ascii="Arial" w:cs="Arial" w:eastAsia="Arial" w:hAnsi="Arial"/>
          <w:sz w:val="20"/>
          <w:szCs w:val="20"/>
        </w:rPr>
        <w:t xml:space="preserve">Five datasets were used in this analysis. All data are freely available in the public domain and were accessed without charge.</w:t>
      </w:r>
    </w:p>
    <w:p>
      <w:pPr>
        <w:spacing w:before="0" w:after="0"/>
      </w:pPr>
      <w:r>
        <w:rPr>
          <w:rFonts w:ascii="Arial" w:cs="Arial" w:eastAsia="Arial" w:hAnsi="Arial"/>
          <w:sz w:val="20"/>
          <w:szCs w:val="20"/>
        </w:rP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500"/>
        <w:gridCol w:w="1560"/>
        <w:gridCol w:w="1560"/>
      </w:tblGrid>
      <w:tr>
        <w:trPr>
          <w:tblHeader/>
        </w:trPr>
        <w:tc>
          <w:tcPr>
            <w:tcW w:type="dxa" w:w="21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80"/>
            </w:tcMar>
          </w:tcPr>
          <w:p>
            <w:r>
              <w:rPr>
                <w:rFonts w:ascii="Arial" w:cs="Arial" w:eastAsia="Arial" w:hAnsi="Arial"/>
                <w:b/>
                <w:bCs/>
                <w:color w:val="FFFFFF"/>
                <w:sz w:val="18"/>
                <w:szCs w:val="18"/>
              </w:rPr>
              <w:t xml:space="preserve">Dataset</w:t>
            </w:r>
          </w:p>
        </w:tc>
        <w:tc>
          <w:tcPr>
            <w:tcW w:type="dxa" w:w="20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80"/>
            </w:tcMar>
          </w:tcPr>
          <w:p>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80"/>
            </w:tcMar>
          </w:tcPr>
          <w:p>
            <w:r>
              <w:rPr>
                <w:rFonts w:ascii="Arial" w:cs="Arial" w:eastAsia="Arial" w:hAnsi="Arial"/>
                <w:b/>
                <w:bCs/>
                <w:color w:val="FFFFFF"/>
                <w:sz w:val="18"/>
                <w:szCs w:val="18"/>
              </w:rPr>
              <w:t xml:space="preserve">Resolution</w:t>
            </w:r>
          </w:p>
        </w:tc>
        <w:tc>
          <w:tcPr>
            <w:tcW w:type="dxa" w:w="15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80"/>
            </w:tcMar>
          </w:tcPr>
          <w:p>
            <w:r>
              <w:rPr>
                <w:rFonts w:ascii="Arial" w:cs="Arial" w:eastAsia="Arial" w:hAnsi="Arial"/>
                <w:b/>
                <w:bCs/>
                <w:color w:val="FFFFFF"/>
                <w:sz w:val="18"/>
                <w:szCs w:val="18"/>
              </w:rPr>
              <w:t xml:space="preserve">Time Range</w:t>
            </w:r>
          </w:p>
        </w:tc>
        <w:tc>
          <w:tcPr>
            <w:tcW w:type="dxa" w:w="15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80"/>
            </w:tcMar>
          </w:tcPr>
          <w:p>
            <w:r>
              <w:rPr>
                <w:rFonts w:ascii="Arial" w:cs="Arial" w:eastAsia="Arial" w:hAnsi="Arial"/>
                <w:b/>
                <w:bCs/>
                <w:color w:val="FFFFFF"/>
                <w:sz w:val="18"/>
                <w:szCs w:val="18"/>
              </w:rPr>
              <w:t xml:space="preserve">Format</w:t>
            </w:r>
          </w:p>
        </w:tc>
      </w:tr>
      <w:tr>
        <w:tc>
          <w:tcPr>
            <w:tcW w:type="dxa" w:w="210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MODIS MOD11A1 (LST)</w:t>
            </w:r>
          </w:p>
        </w:tc>
        <w:tc>
          <w:tcPr>
            <w:tcW w:type="dxa" w:w="200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NASA EarthData / GEE</w:t>
            </w:r>
          </w:p>
        </w:tc>
        <w:tc>
          <w:tcPr>
            <w:tcW w:type="dxa" w:w="150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1 km</w:t>
            </w:r>
          </w:p>
        </w:tc>
        <w:tc>
          <w:tcPr>
            <w:tcW w:type="dxa" w:w="156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2019–2023</w:t>
            </w:r>
          </w:p>
        </w:tc>
        <w:tc>
          <w:tcPr>
            <w:tcW w:type="dxa" w:w="156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GeoTIFF</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22222"/>
                <w:sz w:val="18"/>
                <w:szCs w:val="18"/>
              </w:rPr>
              <w:t xml:space="preserve">Landsat-8 SR (NDVI)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22222"/>
                <w:sz w:val="18"/>
                <w:szCs w:val="18"/>
              </w:rPr>
              <w:t xml:space="preserve">USGS / GEE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22222"/>
                <w:sz w:val="18"/>
                <w:szCs w:val="18"/>
              </w:rPr>
              <w:t xml:space="preserve">30 m → 1 km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22222"/>
                <w:sz w:val="18"/>
                <w:szCs w:val="18"/>
              </w:rPr>
              <w:t xml:space="preserve">2019–2023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22222"/>
                <w:sz w:val="18"/>
                <w:szCs w:val="18"/>
              </w:rPr>
              <w:t xml:space="preserve">GeoTIFF</w:t>
            </w:r>
          </w:p>
        </w:tc>
      </w:tr>
      <w:tr>
        <w:tc>
          <w:tcPr>
            <w:tcW w:type="dxa" w:w="210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ESA WorldCover 2021</w:t>
            </w:r>
          </w:p>
        </w:tc>
        <w:tc>
          <w:tcPr>
            <w:tcW w:type="dxa" w:w="200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ESA Copernicus</w:t>
            </w:r>
          </w:p>
        </w:tc>
        <w:tc>
          <w:tcPr>
            <w:tcW w:type="dxa" w:w="150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10 m → 1 km</w:t>
            </w:r>
          </w:p>
        </w:tc>
        <w:tc>
          <w:tcPr>
            <w:tcW w:type="dxa" w:w="156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2021 (static)</w:t>
            </w:r>
          </w:p>
        </w:tc>
        <w:tc>
          <w:tcPr>
            <w:tcW w:type="dxa" w:w="156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GeoTIFF</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22222"/>
                <w:sz w:val="18"/>
                <w:szCs w:val="18"/>
              </w:rPr>
              <w:t xml:space="preserve">Census Ward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22222"/>
                <w:sz w:val="18"/>
                <w:szCs w:val="18"/>
              </w:rPr>
              <w:t xml:space="preserve">data.gov.in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22222"/>
                <w:sz w:val="18"/>
                <w:szCs w:val="18"/>
              </w:rPr>
              <w:t xml:space="preserve">Ward-level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22222"/>
                <w:sz w:val="18"/>
                <w:szCs w:val="18"/>
              </w:rPr>
              <w:t xml:space="preserve">2011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22222"/>
                <w:sz w:val="18"/>
                <w:szCs w:val="18"/>
              </w:rPr>
              <w:t xml:space="preserve">CSV / SHP</w:t>
            </w:r>
          </w:p>
        </w:tc>
      </w:tr>
      <w:tr>
        <w:tc>
          <w:tcPr>
            <w:tcW w:type="dxa" w:w="210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GADM Shapefiles</w:t>
            </w:r>
          </w:p>
        </w:tc>
        <w:tc>
          <w:tcPr>
            <w:tcW w:type="dxa" w:w="200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gadm.org v4.1</w:t>
            </w:r>
          </w:p>
        </w:tc>
        <w:tc>
          <w:tcPr>
            <w:tcW w:type="dxa" w:w="150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District/Ward</w:t>
            </w:r>
          </w:p>
        </w:tc>
        <w:tc>
          <w:tcPr>
            <w:tcW w:type="dxa" w:w="156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2023</w:t>
            </w:r>
          </w:p>
        </w:tc>
        <w:tc>
          <w:tcPr>
            <w:tcW w:type="dxa" w:w="1560"/>
            <w:tcBorders>
              <w:top w:val="single" w:color="CCCCCC" w:sz="1"/>
              <w:left w:val="single" w:color="CCCCCC" w:sz="1"/>
              <w:bottom w:val="single" w:color="CCCCCC" w:sz="1"/>
              <w:right w:val="single" w:color="CCCCCC" w:sz="1"/>
            </w:tcBorders>
            <w:shd w:fill="FAFBFE" w:val="clear"/>
            <w:tcMar>
              <w:top w:type="dxa" w:w="80"/>
              <w:left w:type="dxa" w:w="120"/>
              <w:bottom w:type="dxa" w:w="80"/>
              <w:right w:type="dxa" w:w="80"/>
            </w:tcMar>
          </w:tcPr>
          <w:p>
            <w:r>
              <w:rPr>
                <w:rFonts w:ascii="Arial" w:cs="Arial" w:eastAsia="Arial" w:hAnsi="Arial"/>
                <w:b w:val="false"/>
                <w:bCs w:val="false"/>
                <w:color w:val="222222"/>
                <w:sz w:val="18"/>
                <w:szCs w:val="18"/>
              </w:rPr>
              <w:t xml:space="preserve">SHP / GeoJSON</w:t>
            </w:r>
          </w:p>
        </w:tc>
      </w:tr>
    </w:tbl>
    <w:p>
      <w:pPr>
        <w:spacing w:before="0" w:after="0"/>
      </w:pPr>
      <w:r>
        <w:rPr>
          <w:rFonts w:ascii="Arial" w:cs="Arial" w:eastAsia="Arial" w:hAnsi="Arial"/>
          <w:sz w:val="20"/>
          <w:szCs w:val="20"/>
        </w:rPr>
        <w:t xml:space="preserve"/>
      </w:r>
    </w:p>
    <w:p>
      <w:pPr>
        <w:pStyle w:val="Heading2"/>
        <w:spacing w:before="280" w:after="100"/>
      </w:pPr>
      <w:r>
        <w:rPr>
          <w:rFonts w:ascii="Arial" w:cs="Arial" w:eastAsia="Arial" w:hAnsi="Arial"/>
          <w:b/>
          <w:bCs/>
          <w:color w:val="2563A8"/>
          <w:sz w:val="26"/>
          <w:szCs w:val="26"/>
        </w:rPr>
        <w:t xml:space="preserve">2.2  Dataset Details</w:t>
      </w:r>
    </w:p>
    <w:p>
      <w:pPr>
        <w:pStyle w:val="Heading3"/>
        <w:spacing w:before="200" w:after="80"/>
      </w:pPr>
      <w:r>
        <w:rPr>
          <w:rFonts w:ascii="Arial" w:cs="Arial" w:eastAsia="Arial" w:hAnsi="Arial"/>
          <w:b/>
          <w:bCs/>
          <w:color w:val="3D6BB5"/>
          <w:sz w:val="22"/>
          <w:szCs w:val="22"/>
        </w:rPr>
        <w:t xml:space="preserve">2.2.1  MODIS MOD11A1 — Land Surface Temperature</w:t>
      </w:r>
    </w:p>
    <w:p>
      <w:pPr>
        <w:spacing w:before="80" w:after="120"/>
        <w:jc w:val="both"/>
      </w:pPr>
      <w:r>
        <w:rPr>
          <w:rFonts w:ascii="Arial" w:cs="Arial" w:eastAsia="Arial" w:hAnsi="Arial"/>
          <w:sz w:val="20"/>
          <w:szCs w:val="20"/>
        </w:rPr>
        <w:t xml:space="preserve">The MODIS Terra Land Surface Temperature and Emissivity product (MOD11A1, Collection 6.1) provides daily LST at 1 km spatial resolution. Monthly composites were generated in Google Earth Engine using the mean of all cloud-free daily observations per pixel. Data were filtered using the QC_Day quality layer to exclude pixels with cloud contamination. The thermal infrared bands (Band 31 and 32) derive LST via the split-window algorithm, with emissivity corrections applied from the companion land cover product. All rasters were exported as GeoTIFF at EPSG:4326 projection.</w:t>
      </w:r>
    </w:p>
    <w:p>
      <w:pPr>
        <w:pStyle w:val="Heading3"/>
        <w:spacing w:before="200" w:after="80"/>
      </w:pPr>
      <w:r>
        <w:rPr>
          <w:rFonts w:ascii="Arial" w:cs="Arial" w:eastAsia="Arial" w:hAnsi="Arial"/>
          <w:b/>
          <w:bCs/>
          <w:color w:val="3D6BB5"/>
          <w:sz w:val="22"/>
          <w:szCs w:val="22"/>
        </w:rPr>
        <w:t xml:space="preserve">2.2.2  Landsat-8 SR — NDVI</w:t>
      </w:r>
    </w:p>
    <w:p>
      <w:pPr>
        <w:spacing w:before="80" w:after="120"/>
        <w:jc w:val="both"/>
      </w:pPr>
      <w:r>
        <w:rPr>
          <w:rFonts w:ascii="Arial" w:cs="Arial" w:eastAsia="Arial" w:hAnsi="Arial"/>
          <w:sz w:val="20"/>
          <w:szCs w:val="20"/>
        </w:rPr>
        <w:t xml:space="preserve">Landsat-8 Surface Reflectance imagery was accessed via Google Earth Engine. NDVI was computed as (Band 5 − Band 4) / (Band 5 + Band 4). Monthly composites were built using cloud-masked median composites. The native 30-metre resolution was resampled to match the 1 km MODIS grid using bilinear interpolation via rasterio.reproject_match() for zonal statistics alignment.</w:t>
      </w:r>
    </w:p>
    <w:p>
      <w:pPr>
        <w:pStyle w:val="Heading3"/>
        <w:spacing w:before="200" w:after="80"/>
      </w:pPr>
      <w:r>
        <w:rPr>
          <w:rFonts w:ascii="Arial" w:cs="Arial" w:eastAsia="Arial" w:hAnsi="Arial"/>
          <w:b/>
          <w:bCs/>
          <w:color w:val="3D6BB5"/>
          <w:sz w:val="22"/>
          <w:szCs w:val="22"/>
        </w:rPr>
        <w:t xml:space="preserve">2.2.3  ESA WorldCover 2021 — Land Use / Land Cover</w:t>
      </w:r>
    </w:p>
    <w:p>
      <w:pPr>
        <w:spacing w:before="80" w:after="120"/>
        <w:jc w:val="both"/>
      </w:pPr>
      <w:r>
        <w:rPr>
          <w:rFonts w:ascii="Arial" w:cs="Arial" w:eastAsia="Arial" w:hAnsi="Arial"/>
          <w:sz w:val="20"/>
          <w:szCs w:val="20"/>
        </w:rPr>
        <w:t xml:space="preserve">ESA WorldCover 2021 provides 10-metre global land cover in 11 classes. Classes were reclassified into five operational categories: industrial (built-up + bare), residential (built-up residential from OSM overlay), vegetation (tree cover + shrubland + grassland), water (permanent water bodies), and mixed. Per-ward LULC percentage was computed via zonal statistics.</w:t>
      </w:r>
    </w:p>
    <w:p>
      <w:pPr>
        <w:pStyle w:val="Heading3"/>
        <w:spacing w:before="200" w:after="80"/>
      </w:pPr>
      <w:r>
        <w:rPr>
          <w:rFonts w:ascii="Arial" w:cs="Arial" w:eastAsia="Arial" w:hAnsi="Arial"/>
          <w:b/>
          <w:bCs/>
          <w:color w:val="3D6BB5"/>
          <w:sz w:val="22"/>
          <w:szCs w:val="22"/>
        </w:rPr>
        <w:t xml:space="preserve">2.2.4  Census &amp; Population Data</w:t>
      </w:r>
    </w:p>
    <w:p>
      <w:pPr>
        <w:spacing w:before="80" w:after="120"/>
        <w:jc w:val="both"/>
      </w:pPr>
      <w:r>
        <w:rPr>
          <w:rFonts w:ascii="Arial" w:cs="Arial" w:eastAsia="Arial" w:hAnsi="Arial"/>
          <w:sz w:val="20"/>
          <w:szCs w:val="20"/>
        </w:rPr>
        <w:t xml:space="preserve">Ward-level population data from Census of India 2011 was used to compute population density (persons/km²). Ward shapefiles (40 wards) were sourced from GADM version 4.1. Note: Census 2011 is the most recent district-level census available; population estimates represent a known limitation for 2019–2023 analysis.</w:t>
      </w:r>
    </w:p>
    <w:p>
      <w:pPr>
        <w:pStyle w:val="Heading2"/>
        <w:spacing w:before="280" w:after="100"/>
      </w:pPr>
      <w:r>
        <w:rPr>
          <w:rFonts w:ascii="Arial" w:cs="Arial" w:eastAsia="Arial" w:hAnsi="Arial"/>
          <w:b/>
          <w:bCs/>
          <w:color w:val="2563A8"/>
          <w:sz w:val="26"/>
          <w:szCs w:val="26"/>
        </w:rPr>
        <w:t xml:space="preserve">2.3  Data Pipeline Summary</w:t>
      </w:r>
    </w:p>
    <w:p>
      <w:pPr>
        <w:pStyle w:val="ListParagraph"/>
        <w:numPr>
          <w:ilvl w:val="0"/>
          <w:numId w:val="3"/>
        </w:numPr>
        <w:spacing w:before="60" w:after="60"/>
      </w:pPr>
      <w:r>
        <w:rPr>
          <w:rFonts w:ascii="Arial" w:cs="Arial" w:eastAsia="Arial" w:hAnsi="Arial"/>
          <w:sz w:val="20"/>
          <w:szCs w:val="20"/>
        </w:rPr>
        <w:t xml:space="preserve">GEE script exports MODIS LST monthly composites (60 months, 2019–2023) for Delhi bounding box</w:t>
      </w:r>
    </w:p>
    <w:p>
      <w:pPr>
        <w:pStyle w:val="ListParagraph"/>
        <w:numPr>
          <w:ilvl w:val="0"/>
          <w:numId w:val="3"/>
        </w:numPr>
        <w:spacing w:before="60" w:after="60"/>
      </w:pPr>
      <w:r>
        <w:rPr>
          <w:rFonts w:ascii="Arial" w:cs="Arial" w:eastAsia="Arial" w:hAnsi="Arial"/>
          <w:sz w:val="20"/>
          <w:szCs w:val="20"/>
        </w:rPr>
        <w:t xml:space="preserve">GEE script exports Landsat-8 NDVI monthly composites for the same area of interest</w:t>
      </w:r>
    </w:p>
    <w:p>
      <w:pPr>
        <w:pStyle w:val="ListParagraph"/>
        <w:numPr>
          <w:ilvl w:val="0"/>
          <w:numId w:val="3"/>
        </w:numPr>
        <w:spacing w:before="60" w:after="60"/>
      </w:pPr>
      <w:r>
        <w:rPr>
          <w:rFonts w:ascii="Arial" w:cs="Arial" w:eastAsia="Arial" w:hAnsi="Arial"/>
          <w:sz w:val="20"/>
          <w:szCs w:val="20"/>
        </w:rPr>
        <w:t xml:space="preserve">Ward shapefiles (40 wards) used for zonal statistics via rasterio + geopandas</w:t>
      </w:r>
    </w:p>
    <w:p>
      <w:pPr>
        <w:pStyle w:val="ListParagraph"/>
        <w:numPr>
          <w:ilvl w:val="0"/>
          <w:numId w:val="3"/>
        </w:numPr>
        <w:spacing w:before="60" w:after="60"/>
      </w:pPr>
      <w:r>
        <w:rPr>
          <w:rFonts w:ascii="Arial" w:cs="Arial" w:eastAsia="Arial" w:hAnsi="Arial"/>
          <w:sz w:val="20"/>
          <w:szCs w:val="20"/>
        </w:rPr>
        <w:t xml:space="preserve">Master DataFrame created: 40 wards × 60 months = 2,400 records, 9 feature columns</w:t>
      </w:r>
    </w:p>
    <w:p>
      <w:pPr>
        <w:pStyle w:val="ListParagraph"/>
        <w:numPr>
          <w:ilvl w:val="0"/>
          <w:numId w:val="3"/>
        </w:numPr>
        <w:spacing w:before="60" w:after="60"/>
      </w:pPr>
      <w:r>
        <w:rPr>
          <w:rFonts w:ascii="Arial" w:cs="Arial" w:eastAsia="Arial" w:hAnsi="Arial"/>
          <w:sz w:val="20"/>
          <w:szCs w:val="20"/>
        </w:rPr>
        <w:t xml:space="preserve">UHI intensity computed per ward per month using peri-urban rural LST baseline</w:t>
      </w:r>
    </w:p>
    <w:p>
      <w:pPr>
        <w:pStyle w:val="ListParagraph"/>
        <w:numPr>
          <w:ilvl w:val="0"/>
          <w:numId w:val="3"/>
        </w:numPr>
        <w:spacing w:before="60" w:after="60"/>
      </w:pPr>
      <w:r>
        <w:rPr>
          <w:rFonts w:ascii="Arial" w:cs="Arial" w:eastAsia="Arial" w:hAnsi="Arial"/>
          <w:sz w:val="20"/>
          <w:szCs w:val="20"/>
        </w:rPr>
        <w:t xml:space="preserve">Season labels assigned: Winter (Dec–Feb), Pre-monsoon (Mar–May), Monsoon (Jun–Sep), Post-monsoon (Oct–Nov)</w:t>
      </w:r>
    </w:p>
    <w:p>
      <w:pPr>
        <w:pageBreakBefore/>
      </w:pPr>
      <w:r>
        <w:rPr>
          <w:rFonts w:ascii="Arial" w:cs="Arial" w:eastAsia="Arial" w:hAnsi="Arial"/>
          <w:sz w:val="20"/>
          <w:szCs w:val="20"/>
        </w:rPr>
        <w:t xml:space="preserve"/>
      </w:r>
    </w:p>
    <w:p>
      <w:pPr>
        <w:pStyle w:val="Heading1"/>
        <w:pBdr>
          <w:bottom w:val="single" w:color="2563A8" w:sz="8" w:space="6"/>
        </w:pBdr>
        <w:spacing w:before="400" w:after="160"/>
      </w:pPr>
      <w:r>
        <w:rPr>
          <w:rFonts w:ascii="Arial" w:cs="Arial" w:eastAsia="Arial" w:hAnsi="Arial"/>
          <w:b/>
          <w:bCs/>
          <w:color w:val="1E3A5F"/>
          <w:sz w:val="32"/>
          <w:szCs w:val="32"/>
        </w:rPr>
        <w:t xml:space="preserve">3.  Data Preprocessing &amp; Quality Assessment</w:t>
      </w:r>
    </w:p>
    <w:p>
      <w:pPr>
        <w:pStyle w:val="Heading2"/>
        <w:spacing w:before="280" w:after="100"/>
      </w:pPr>
      <w:r>
        <w:rPr>
          <w:rFonts w:ascii="Arial" w:cs="Arial" w:eastAsia="Arial" w:hAnsi="Arial"/>
          <w:b/>
          <w:bCs/>
          <w:color w:val="2563A8"/>
          <w:sz w:val="26"/>
          <w:szCs w:val="26"/>
        </w:rPr>
        <w:t xml:space="preserve">3.1  Overview</w:t>
      </w:r>
    </w:p>
    <w:p>
      <w:pPr>
        <w:spacing w:before="80" w:after="120"/>
        <w:jc w:val="both"/>
      </w:pPr>
      <w:r>
        <w:rPr>
          <w:rFonts w:ascii="Arial" w:cs="Arial" w:eastAsia="Arial" w:hAnsi="Arial"/>
          <w:sz w:val="20"/>
          <w:szCs w:val="20"/>
        </w:rPr>
        <w:t xml:space="preserve">This section documents all transformations applied to raw satellite data before analysis. Satellite remote sensing data requires careful preprocessing to address cloud contamination, projection mismatches, and resolution misalignment between datasets. All steps are reproducible using the project's open-source Python pipeline.</w:t>
      </w:r>
    </w:p>
    <w:p>
      <w:pPr>
        <w:pStyle w:val="Heading2"/>
        <w:spacing w:before="280" w:after="100"/>
      </w:pPr>
      <w:r>
        <w:rPr>
          <w:rFonts w:ascii="Arial" w:cs="Arial" w:eastAsia="Arial" w:hAnsi="Arial"/>
          <w:b/>
          <w:bCs/>
          <w:color w:val="2563A8"/>
          <w:sz w:val="26"/>
          <w:szCs w:val="26"/>
        </w:rPr>
        <w:t xml:space="preserve">3.2  Step-by-Step Preprocessing</w:t>
      </w:r>
    </w:p>
    <w:p>
      <w:pPr>
        <w:pStyle w:val="Heading3"/>
        <w:spacing w:before="200" w:after="80"/>
      </w:pPr>
      <w:r>
        <w:rPr>
          <w:rFonts w:ascii="Arial" w:cs="Arial" w:eastAsia="Arial" w:hAnsi="Arial"/>
          <w:b/>
          <w:bCs/>
          <w:color w:val="3D6BB5"/>
          <w:sz w:val="22"/>
          <w:szCs w:val="22"/>
        </w:rPr>
        <w:t xml:space="preserve">Step 1 — Cloud Masking</w:t>
      </w:r>
    </w:p>
    <w:p>
      <w:pPr>
        <w:spacing w:before="80" w:after="120"/>
        <w:jc w:val="both"/>
      </w:pPr>
      <w:r>
        <w:rPr>
          <w:rFonts w:ascii="Arial" w:cs="Arial" w:eastAsia="Arial" w:hAnsi="Arial"/>
          <w:sz w:val="20"/>
          <w:szCs w:val="20"/>
        </w:rPr>
        <w:t xml:space="preserve">MODIS LST pixels flagged as cloud-contaminated in the QC_Day quality control band were excluded before monthly compositing. The bitwise mask was applied using GEE's built-in QA processing. For any ward-month combination where fewer than 10 valid pixel-observations remained after cloud masking, the monthly value was flagged for imputation.</w:t>
      </w:r>
    </w:p>
    <w:p>
      <w:pPr>
        <w:pStyle w:val="Heading3"/>
        <w:spacing w:before="200" w:after="80"/>
      </w:pPr>
      <w:r>
        <w:rPr>
          <w:rFonts w:ascii="Arial" w:cs="Arial" w:eastAsia="Arial" w:hAnsi="Arial"/>
          <w:b/>
          <w:bCs/>
          <w:color w:val="3D6BB5"/>
          <w:sz w:val="22"/>
          <w:szCs w:val="22"/>
        </w:rPr>
        <w:t xml:space="preserve">Step 2 — Reprojection and Resolution Harmonisation</w:t>
      </w:r>
    </w:p>
    <w:p>
      <w:pPr>
        <w:spacing w:before="80" w:after="120"/>
        <w:jc w:val="both"/>
      </w:pPr>
      <w:r>
        <w:rPr>
          <w:rFonts w:ascii="Arial" w:cs="Arial" w:eastAsia="Arial" w:hAnsi="Arial"/>
          <w:sz w:val="20"/>
          <w:szCs w:val="20"/>
        </w:rPr>
        <w:t xml:space="preserve">All rasters were reprojected to a common coordinate reference system (EPSG:4326) and resampled to the 1 km MODIS grid using bilinear interpolation. This ensures that MODIS (1 km), Landsat-8 (30 m → 1 km), and WorldCover (10 m → 1 km) layers align perfectly for zonal statistics.</w:t>
      </w:r>
    </w:p>
    <w:p>
      <w:pPr>
        <w:pStyle w:val="Heading3"/>
        <w:spacing w:before="200" w:after="80"/>
      </w:pPr>
      <w:r>
        <w:rPr>
          <w:rFonts w:ascii="Arial" w:cs="Arial" w:eastAsia="Arial" w:hAnsi="Arial"/>
          <w:b/>
          <w:bCs/>
          <w:color w:val="3D6BB5"/>
          <w:sz w:val="22"/>
          <w:szCs w:val="22"/>
        </w:rPr>
        <w:t xml:space="preserve">Step 3 — Zonal Statistics</w:t>
      </w:r>
    </w:p>
    <w:p>
      <w:pPr>
        <w:spacing w:before="80" w:after="120"/>
        <w:jc w:val="both"/>
      </w:pPr>
      <w:r>
        <w:rPr>
          <w:rFonts w:ascii="Arial" w:cs="Arial" w:eastAsia="Arial" w:hAnsi="Arial"/>
          <w:sz w:val="20"/>
          <w:szCs w:val="20"/>
        </w:rPr>
        <w:t xml:space="preserve">Mean LST, mean NDVI, and LULC class percentages were computed per ward per month using rasterio geometry masking. The dominant LULC class (highest percentage) was assigned as each ward's categorical label. This produced the master DataFrame of 2,400 records.</w:t>
      </w:r>
    </w:p>
    <w:p>
      <w:pPr>
        <w:pStyle w:val="Heading3"/>
        <w:spacing w:before="200" w:after="80"/>
      </w:pPr>
      <w:r>
        <w:rPr>
          <w:rFonts w:ascii="Arial" w:cs="Arial" w:eastAsia="Arial" w:hAnsi="Arial"/>
          <w:b/>
          <w:bCs/>
          <w:color w:val="3D6BB5"/>
          <w:sz w:val="22"/>
          <w:szCs w:val="22"/>
        </w:rPr>
        <w:t xml:space="preserve">Step 4 — Missing Value Handling</w:t>
      </w:r>
    </w:p>
    <w:p>
      <w:pPr>
        <w:spacing w:before="80" w:after="120"/>
        <w:jc w:val="both"/>
      </w:pPr>
      <w:r>
        <w:rPr>
          <w:rFonts w:ascii="Arial" w:cs="Arial" w:eastAsia="Arial" w:hAnsi="Arial"/>
          <w:sz w:val="20"/>
          <w:szCs w:val="20"/>
        </w:rPr>
        <w:t xml:space="preserve">Residual null values (approximately 3.2% of records, from persistent cloud cover in specific ward-months) were imputed using the monthly mean across all non-null wards for that variable. No records were dropped from the analysis. The null pattern was visualised using a missing-value heatmap to confirm no systematic spatial bias in the nulls.</w:t>
      </w:r>
    </w:p>
    <w:p>
      <w:pPr>
        <w:pStyle w:val="Heading3"/>
        <w:spacing w:before="200" w:after="80"/>
      </w:pPr>
      <w:r>
        <w:rPr>
          <w:rFonts w:ascii="Arial" w:cs="Arial" w:eastAsia="Arial" w:hAnsi="Arial"/>
          <w:b/>
          <w:bCs/>
          <w:color w:val="3D6BB5"/>
          <w:sz w:val="22"/>
          <w:szCs w:val="22"/>
        </w:rPr>
        <w:t xml:space="preserve">Step 5 — Feature Engineering</w:t>
      </w:r>
    </w:p>
    <w:p>
      <w:pPr>
        <w:pStyle w:val="ListParagraph"/>
        <w:numPr>
          <w:ilvl w:val="0"/>
          <w:numId w:val="3"/>
        </w:numPr>
        <w:spacing w:before="60" w:after="60"/>
      </w:pPr>
      <w:r>
        <w:rPr>
          <w:rFonts w:ascii="Arial" w:cs="Arial" w:eastAsia="Arial" w:hAnsi="Arial"/>
          <w:sz w:val="20"/>
          <w:szCs w:val="20"/>
        </w:rPr>
        <w:t xml:space="preserve">UHI Intensity = LST_ward − LST_rural (computed per month using peri-urban vegetated pixel baseline)</w:t>
      </w:r>
    </w:p>
    <w:p>
      <w:pPr>
        <w:pStyle w:val="ListParagraph"/>
        <w:numPr>
          <w:ilvl w:val="0"/>
          <w:numId w:val="3"/>
        </w:numPr>
        <w:spacing w:before="60" w:after="60"/>
      </w:pPr>
      <w:r>
        <w:rPr>
          <w:rFonts w:ascii="Arial" w:cs="Arial" w:eastAsia="Arial" w:hAnsi="Arial"/>
          <w:sz w:val="20"/>
          <w:szCs w:val="20"/>
        </w:rPr>
        <w:t xml:space="preserve">log(Pop Density) = log1p(pop_density) applied to correct severe right skew before modelling</w:t>
      </w:r>
    </w:p>
    <w:p>
      <w:pPr>
        <w:pStyle w:val="ListParagraph"/>
        <w:numPr>
          <w:ilvl w:val="0"/>
          <w:numId w:val="3"/>
        </w:numPr>
        <w:spacing w:before="60" w:after="60"/>
      </w:pPr>
      <w:r>
        <w:rPr>
          <w:rFonts w:ascii="Arial" w:cs="Arial" w:eastAsia="Arial" w:hAnsi="Arial"/>
          <w:sz w:val="20"/>
          <w:szCs w:val="20"/>
        </w:rPr>
        <w:t xml:space="preserve">Season label derived from month number (categorical: 4 classes)</w:t>
      </w:r>
    </w:p>
    <w:p>
      <w:pPr>
        <w:pStyle w:val="ListParagraph"/>
        <w:numPr>
          <w:ilvl w:val="0"/>
          <w:numId w:val="3"/>
        </w:numPr>
        <w:spacing w:before="60" w:after="60"/>
      </w:pPr>
      <w:r>
        <w:rPr>
          <w:rFonts w:ascii="Arial" w:cs="Arial" w:eastAsia="Arial" w:hAnsi="Arial"/>
          <w:sz w:val="20"/>
          <w:szCs w:val="20"/>
        </w:rPr>
        <w:t xml:space="preserve">Dominant LULC class per ward from maximum of 5 LULC percentage columns</w:t>
      </w:r>
    </w:p>
    <w:p>
      <w:pPr>
        <w:pStyle w:val="ListParagraph"/>
        <w:numPr>
          <w:ilvl w:val="0"/>
          <w:numId w:val="3"/>
        </w:numPr>
        <w:spacing w:before="60" w:after="60"/>
      </w:pPr>
      <w:r>
        <w:rPr>
          <w:rFonts w:ascii="Arial" w:cs="Arial" w:eastAsia="Arial" w:hAnsi="Arial"/>
          <w:sz w:val="20"/>
          <w:szCs w:val="20"/>
        </w:rPr>
        <w:t xml:space="preserve">Built-up percentage = industrial% + residential% per ward from WorldCover reclassification</w:t>
      </w:r>
    </w:p>
    <w:p>
      <w:pPr>
        <w:pStyle w:val="Heading2"/>
        <w:spacing w:before="280" w:after="100"/>
      </w:pPr>
      <w:r>
        <w:rPr>
          <w:rFonts w:ascii="Arial" w:cs="Arial" w:eastAsia="Arial" w:hAnsi="Arial"/>
          <w:b/>
          <w:bCs/>
          <w:color w:val="2563A8"/>
          <w:sz w:val="26"/>
          <w:szCs w:val="26"/>
        </w:rPr>
        <w:t xml:space="preserve">3.3  Final Dataset Structure</w:t>
      </w:r>
    </w:p>
    <w:p>
      <w:pPr>
        <w:spacing w:before="80" w:after="120"/>
        <w:jc w:val="both"/>
      </w:pPr>
      <w:r>
        <w:rPr>
          <w:rFonts w:ascii="Arial" w:cs="Arial" w:eastAsia="Arial" w:hAnsi="Arial"/>
          <w:sz w:val="20"/>
          <w:szCs w:val="20"/>
        </w:rPr>
        <w:t xml:space="preserve">The final master DataFrame contains 2,400 rows and 9 columns: ward_name, date, year, month, season, mean_LST (°C), mean_NDVI, builtup_pct (%), pop_density (persons/km²), UHI_intensity (°C), and lulc_class.</w:t>
      </w:r>
    </w:p>
    <w:p>
      <w:pPr>
        <w:pageBreakBefore/>
      </w:pPr>
      <w:r>
        <w:rPr>
          <w:rFonts w:ascii="Arial" w:cs="Arial" w:eastAsia="Arial" w:hAnsi="Arial"/>
          <w:sz w:val="20"/>
          <w:szCs w:val="20"/>
        </w:rPr>
        <w:t xml:space="preserve"/>
      </w:r>
    </w:p>
    <w:p>
      <w:pPr>
        <w:pStyle w:val="Heading1"/>
        <w:pBdr>
          <w:bottom w:val="single" w:color="2563A8" w:sz="8" w:space="6"/>
        </w:pBdr>
        <w:spacing w:before="400" w:after="160"/>
      </w:pPr>
      <w:r>
        <w:rPr>
          <w:rFonts w:ascii="Arial" w:cs="Arial" w:eastAsia="Arial" w:hAnsi="Arial"/>
          <w:b/>
          <w:bCs/>
          <w:color w:val="1E3A5F"/>
          <w:sz w:val="32"/>
          <w:szCs w:val="32"/>
        </w:rPr>
        <w:t xml:space="preserve">4.  Univariate Analysis</w:t>
      </w:r>
    </w:p>
    <w:p>
      <w:pPr>
        <w:pStyle w:val="Heading2"/>
        <w:spacing w:before="280" w:after="100"/>
      </w:pPr>
      <w:r>
        <w:rPr>
          <w:rFonts w:ascii="Arial" w:cs="Arial" w:eastAsia="Arial" w:hAnsi="Arial"/>
          <w:b/>
          <w:bCs/>
          <w:color w:val="2563A8"/>
          <w:sz w:val="26"/>
          <w:szCs w:val="26"/>
        </w:rPr>
        <w:t xml:space="preserve">4.1  Summary Statistics</w:t>
      </w:r>
    </w:p>
    <w:p>
      <w:pPr>
        <w:spacing w:before="80" w:after="120"/>
        <w:jc w:val="both"/>
      </w:pPr>
      <w:r>
        <w:rPr>
          <w:rFonts w:ascii="Arial" w:cs="Arial" w:eastAsia="Arial" w:hAnsi="Arial"/>
          <w:sz w:val="20"/>
          <w:szCs w:val="20"/>
        </w:rPr>
        <w:t xml:space="preserve">Table 4.1 presents descriptive statistics for all key variables across the 2,400 ward-month observations. The wide range of LST (21.8°C to 48.3°C) and UHI intensity (−3.8°C to +9.6°C) indicates high thermal variability across ward types and seasons, providing a rich signal for predictive modelling.</w:t>
      </w:r>
    </w:p>
    <w:p>
      <w:pPr>
        <w:spacing w:before="0" w:after="0"/>
      </w:pPr>
      <w:r>
        <w:rPr>
          <w:rFonts w:ascii="Arial" w:cs="Arial" w:eastAsia="Arial" w:hAnsi="Arial"/>
          <w:sz w:val="20"/>
          <w:szCs w:val="20"/>
        </w:rPr>
        <w:t xml:space="preserve"/>
      </w:r>
    </w:p>
    <w:tbl>
      <w:tblPr>
        <w:tblW w:type="dxa" w:w="1072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100"/>
        <w:gridCol w:w="1100"/>
        <w:gridCol w:w="1100"/>
        <w:gridCol w:w="1000"/>
        <w:gridCol w:w="1120"/>
      </w:tblGrid>
      <w:tr>
        <w:trPr>
          <w:tblHeader/>
        </w:trPr>
        <w:tc>
          <w:tcPr>
            <w:tcW w:type="dxa" w:w="2000"/>
            <w:tcBorders>
              <w:top w:val="single" w:color="CCCCCC" w:sz="1"/>
              <w:left w:val="single" w:color="CCCCCC" w:sz="1"/>
              <w:bottom w:val="single" w:color="CCCCCC" w:sz="1"/>
              <w:right w:val="single" w:color="CCCCCC" w:sz="1"/>
            </w:tcBorders>
            <w:shd w:fill="2563A8" w:val="clear"/>
            <w:tcMar>
              <w:top w:type="dxa" w:w="70"/>
              <w:left w:type="dxa" w:w="100"/>
              <w:bottom w:type="dxa" w:w="70"/>
              <w:right w:type="dxa" w:w="80"/>
            </w:tcMar>
          </w:tcPr>
          <w:p>
            <w:pPr>
              <w:jc w:val="left"/>
            </w:pPr>
            <w:r>
              <w:rPr>
                <w:rFonts w:ascii="Arial" w:cs="Arial" w:eastAsia="Arial" w:hAnsi="Arial"/>
                <w:b/>
                <w:bCs/>
                <w:color w:val="FFFFFF"/>
                <w:sz w:val="17"/>
                <w:szCs w:val="17"/>
              </w:rPr>
              <w:t xml:space="preserve">Variable</w:t>
            </w:r>
          </w:p>
        </w:tc>
        <w:tc>
          <w:tcPr>
            <w:tcW w:type="dxa" w:w="1100"/>
            <w:tcBorders>
              <w:top w:val="single" w:color="CCCCCC" w:sz="1"/>
              <w:left w:val="single" w:color="CCCCCC" w:sz="1"/>
              <w:bottom w:val="single" w:color="CCCCCC" w:sz="1"/>
              <w:right w:val="single" w:color="CCCCCC" w:sz="1"/>
            </w:tcBorders>
            <w:shd w:fill="2563A8" w:val="clear"/>
            <w:tcMar>
              <w:top w:type="dxa" w:w="70"/>
              <w:left w:type="dxa" w:w="100"/>
              <w:bottom w:type="dxa" w:w="70"/>
              <w:right w:type="dxa" w:w="80"/>
            </w:tcMar>
          </w:tcPr>
          <w:p>
            <w:pPr>
              <w:jc w:val="center"/>
            </w:pPr>
            <w:r>
              <w:rPr>
                <w:rFonts w:ascii="Arial" w:cs="Arial" w:eastAsia="Arial" w:hAnsi="Arial"/>
                <w:b/>
                <w:bCs/>
                <w:color w:val="FFFFFF"/>
                <w:sz w:val="17"/>
                <w:szCs w:val="17"/>
              </w:rPr>
              <w:t xml:space="preserve">Count</w:t>
            </w:r>
          </w:p>
        </w:tc>
        <w:tc>
          <w:tcPr>
            <w:tcW w:type="dxa" w:w="1100"/>
            <w:tcBorders>
              <w:top w:val="single" w:color="CCCCCC" w:sz="1"/>
              <w:left w:val="single" w:color="CCCCCC" w:sz="1"/>
              <w:bottom w:val="single" w:color="CCCCCC" w:sz="1"/>
              <w:right w:val="single" w:color="CCCCCC" w:sz="1"/>
            </w:tcBorders>
            <w:shd w:fill="2563A8" w:val="clear"/>
            <w:tcMar>
              <w:top w:type="dxa" w:w="70"/>
              <w:left w:type="dxa" w:w="100"/>
              <w:bottom w:type="dxa" w:w="70"/>
              <w:right w:type="dxa" w:w="80"/>
            </w:tcMar>
          </w:tcPr>
          <w:p>
            <w:pPr>
              <w:jc w:val="center"/>
            </w:pPr>
            <w:r>
              <w:rPr>
                <w:rFonts w:ascii="Arial" w:cs="Arial" w:eastAsia="Arial" w:hAnsi="Arial"/>
                <w:b/>
                <w:bCs/>
                <w:color w:val="FFFFFF"/>
                <w:sz w:val="17"/>
                <w:szCs w:val="17"/>
              </w:rPr>
              <w:t xml:space="preserve">Mean</w:t>
            </w:r>
          </w:p>
        </w:tc>
        <w:tc>
          <w:tcPr>
            <w:tcW w:type="dxa" w:w="1100"/>
            <w:tcBorders>
              <w:top w:val="single" w:color="CCCCCC" w:sz="1"/>
              <w:left w:val="single" w:color="CCCCCC" w:sz="1"/>
              <w:bottom w:val="single" w:color="CCCCCC" w:sz="1"/>
              <w:right w:val="single" w:color="CCCCCC" w:sz="1"/>
            </w:tcBorders>
            <w:shd w:fill="2563A8" w:val="clear"/>
            <w:tcMar>
              <w:top w:type="dxa" w:w="70"/>
              <w:left w:type="dxa" w:w="100"/>
              <w:bottom w:type="dxa" w:w="70"/>
              <w:right w:type="dxa" w:w="80"/>
            </w:tcMar>
          </w:tcPr>
          <w:p>
            <w:pPr>
              <w:jc w:val="center"/>
            </w:pPr>
            <w:r>
              <w:rPr>
                <w:rFonts w:ascii="Arial" w:cs="Arial" w:eastAsia="Arial" w:hAnsi="Arial"/>
                <w:b/>
                <w:bCs/>
                <w:color w:val="FFFFFF"/>
                <w:sz w:val="17"/>
                <w:szCs w:val="17"/>
              </w:rPr>
              <w:t xml:space="preserve">Std</w:t>
            </w:r>
          </w:p>
        </w:tc>
        <w:tc>
          <w:tcPr>
            <w:tcW w:type="dxa" w:w="1100"/>
            <w:tcBorders>
              <w:top w:val="single" w:color="CCCCCC" w:sz="1"/>
              <w:left w:val="single" w:color="CCCCCC" w:sz="1"/>
              <w:bottom w:val="single" w:color="CCCCCC" w:sz="1"/>
              <w:right w:val="single" w:color="CCCCCC" w:sz="1"/>
            </w:tcBorders>
            <w:shd w:fill="2563A8" w:val="clear"/>
            <w:tcMar>
              <w:top w:type="dxa" w:w="70"/>
              <w:left w:type="dxa" w:w="100"/>
              <w:bottom w:type="dxa" w:w="70"/>
              <w:right w:type="dxa" w:w="80"/>
            </w:tcMar>
          </w:tcPr>
          <w:p>
            <w:pPr>
              <w:jc w:val="center"/>
            </w:pPr>
            <w:r>
              <w:rPr>
                <w:rFonts w:ascii="Arial" w:cs="Arial" w:eastAsia="Arial" w:hAnsi="Arial"/>
                <w:b/>
                <w:bCs/>
                <w:color w:val="FFFFFF"/>
                <w:sz w:val="17"/>
                <w:szCs w:val="17"/>
              </w:rPr>
              <w:t xml:space="preserve">Min</w:t>
            </w:r>
          </w:p>
        </w:tc>
        <w:tc>
          <w:tcPr>
            <w:tcW w:type="dxa" w:w="1100"/>
            <w:tcBorders>
              <w:top w:val="single" w:color="CCCCCC" w:sz="1"/>
              <w:left w:val="single" w:color="CCCCCC" w:sz="1"/>
              <w:bottom w:val="single" w:color="CCCCCC" w:sz="1"/>
              <w:right w:val="single" w:color="CCCCCC" w:sz="1"/>
            </w:tcBorders>
            <w:shd w:fill="2563A8" w:val="clear"/>
            <w:tcMar>
              <w:top w:type="dxa" w:w="70"/>
              <w:left w:type="dxa" w:w="100"/>
              <w:bottom w:type="dxa" w:w="70"/>
              <w:right w:type="dxa" w:w="80"/>
            </w:tcMar>
          </w:tcPr>
          <w:p>
            <w:pPr>
              <w:jc w:val="center"/>
            </w:pPr>
            <w:r>
              <w:rPr>
                <w:rFonts w:ascii="Arial" w:cs="Arial" w:eastAsia="Arial" w:hAnsi="Arial"/>
                <w:b/>
                <w:bCs/>
                <w:color w:val="FFFFFF"/>
                <w:sz w:val="17"/>
                <w:szCs w:val="17"/>
              </w:rPr>
              <w:t xml:space="preserve">25%</w:t>
            </w:r>
          </w:p>
        </w:tc>
        <w:tc>
          <w:tcPr>
            <w:tcW w:type="dxa" w:w="1100"/>
            <w:tcBorders>
              <w:top w:val="single" w:color="CCCCCC" w:sz="1"/>
              <w:left w:val="single" w:color="CCCCCC" w:sz="1"/>
              <w:bottom w:val="single" w:color="CCCCCC" w:sz="1"/>
              <w:right w:val="single" w:color="CCCCCC" w:sz="1"/>
            </w:tcBorders>
            <w:shd w:fill="2563A8" w:val="clear"/>
            <w:tcMar>
              <w:top w:type="dxa" w:w="70"/>
              <w:left w:type="dxa" w:w="100"/>
              <w:bottom w:type="dxa" w:w="70"/>
              <w:right w:type="dxa" w:w="80"/>
            </w:tcMar>
          </w:tcPr>
          <w:p>
            <w:pPr>
              <w:jc w:val="center"/>
            </w:pPr>
            <w:r>
              <w:rPr>
                <w:rFonts w:ascii="Arial" w:cs="Arial" w:eastAsia="Arial" w:hAnsi="Arial"/>
                <w:b/>
                <w:bCs/>
                <w:color w:val="FFFFFF"/>
                <w:sz w:val="17"/>
                <w:szCs w:val="17"/>
              </w:rPr>
              <w:t xml:space="preserve">50%</w:t>
            </w:r>
          </w:p>
        </w:tc>
        <w:tc>
          <w:tcPr>
            <w:tcW w:type="dxa" w:w="1000"/>
            <w:tcBorders>
              <w:top w:val="single" w:color="CCCCCC" w:sz="1"/>
              <w:left w:val="single" w:color="CCCCCC" w:sz="1"/>
              <w:bottom w:val="single" w:color="CCCCCC" w:sz="1"/>
              <w:right w:val="single" w:color="CCCCCC" w:sz="1"/>
            </w:tcBorders>
            <w:shd w:fill="2563A8" w:val="clear"/>
            <w:tcMar>
              <w:top w:type="dxa" w:w="70"/>
              <w:left w:type="dxa" w:w="100"/>
              <w:bottom w:type="dxa" w:w="70"/>
              <w:right w:type="dxa" w:w="80"/>
            </w:tcMar>
          </w:tcPr>
          <w:p>
            <w:pPr>
              <w:jc w:val="center"/>
            </w:pPr>
            <w:r>
              <w:rPr>
                <w:rFonts w:ascii="Arial" w:cs="Arial" w:eastAsia="Arial" w:hAnsi="Arial"/>
                <w:b/>
                <w:bCs/>
                <w:color w:val="FFFFFF"/>
                <w:sz w:val="17"/>
                <w:szCs w:val="17"/>
              </w:rPr>
              <w:t xml:space="preserve">75%</w:t>
            </w:r>
          </w:p>
        </w:tc>
        <w:tc>
          <w:tcPr>
            <w:tcW w:type="dxa" w:w="1120"/>
            <w:tcBorders>
              <w:top w:val="single" w:color="CCCCCC" w:sz="1"/>
              <w:left w:val="single" w:color="CCCCCC" w:sz="1"/>
              <w:bottom w:val="single" w:color="CCCCCC" w:sz="1"/>
              <w:right w:val="single" w:color="CCCCCC" w:sz="1"/>
            </w:tcBorders>
            <w:shd w:fill="2563A8" w:val="clear"/>
            <w:tcMar>
              <w:top w:type="dxa" w:w="70"/>
              <w:left w:type="dxa" w:w="100"/>
              <w:bottom w:type="dxa" w:w="70"/>
              <w:right w:type="dxa" w:w="80"/>
            </w:tcMar>
          </w:tcPr>
          <w:p>
            <w:pPr>
              <w:jc w:val="center"/>
            </w:pPr>
            <w:r>
              <w:rPr>
                <w:rFonts w:ascii="Arial" w:cs="Arial" w:eastAsia="Arial" w:hAnsi="Arial"/>
                <w:b/>
                <w:bCs/>
                <w:color w:val="FFFFFF"/>
                <w:sz w:val="17"/>
                <w:szCs w:val="17"/>
              </w:rPr>
              <w:t xml:space="preserve">Max</w:t>
            </w:r>
          </w:p>
        </w:tc>
      </w:tr>
      <w:tr>
        <w:tc>
          <w:tcPr>
            <w:tcW w:type="dxa" w:w="2000"/>
            <w:tcBorders>
              <w:top w:val="single" w:color="CCCCCC" w:sz="1"/>
              <w:left w:val="single" w:color="CCCCCC" w:sz="1"/>
              <w:bottom w:val="single" w:color="CCCCCC" w:sz="1"/>
              <w:right w:val="single" w:color="CCCCCC" w:sz="1"/>
            </w:tcBorders>
            <w:shd w:fill="EFF4FB" w:val="clear"/>
            <w:tcMar>
              <w:top w:type="dxa" w:w="70"/>
              <w:left w:type="dxa" w:w="100"/>
              <w:bottom w:type="dxa" w:w="70"/>
              <w:right w:type="dxa" w:w="80"/>
            </w:tcMar>
          </w:tcPr>
          <w:p>
            <w:pPr>
              <w:jc w:val="left"/>
            </w:pPr>
            <w:r>
              <w:rPr>
                <w:rFonts w:ascii="Arial" w:cs="Arial" w:eastAsia="Arial" w:hAnsi="Arial"/>
                <w:b/>
                <w:bCs/>
                <w:color w:val="222222"/>
                <w:sz w:val="17"/>
                <w:szCs w:val="17"/>
              </w:rPr>
              <w:t xml:space="preserve">Mean LST (°C)</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2400</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36.0</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8.1</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21.8</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29.4</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36.2</w:t>
            </w:r>
          </w:p>
        </w:tc>
        <w:tc>
          <w:tcPr>
            <w:tcW w:type="dxa" w:w="10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43.1</w:t>
            </w:r>
          </w:p>
        </w:tc>
        <w:tc>
          <w:tcPr>
            <w:tcW w:type="dxa" w:w="112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48.3</w:t>
            </w:r>
          </w:p>
        </w:tc>
      </w:tr>
      <w:tr>
        <w:tc>
          <w:tcPr>
            <w:tcW w:type="dxa" w:w="2000"/>
            <w:tcBorders>
              <w:top w:val="single" w:color="CCCCCC" w:sz="1"/>
              <w:left w:val="single" w:color="CCCCCC" w:sz="1"/>
              <w:bottom w:val="single" w:color="CCCCCC" w:sz="1"/>
              <w:right w:val="single" w:color="CCCCCC" w:sz="1"/>
            </w:tcBorders>
            <w:shd w:fill="EFF4FB" w:val="clear"/>
            <w:tcMar>
              <w:top w:type="dxa" w:w="70"/>
              <w:left w:type="dxa" w:w="100"/>
              <w:bottom w:type="dxa" w:w="70"/>
              <w:right w:type="dxa" w:w="80"/>
            </w:tcMar>
          </w:tcPr>
          <w:p>
            <w:pPr>
              <w:jc w:val="left"/>
            </w:pPr>
            <w:r>
              <w:rPr>
                <w:rFonts w:ascii="Arial" w:cs="Arial" w:eastAsia="Arial" w:hAnsi="Arial"/>
                <w:b/>
                <w:bCs/>
                <w:color w:val="222222"/>
                <w:sz w:val="17"/>
                <w:szCs w:val="17"/>
              </w:rPr>
              <w:t xml:space="preserve">NDVI</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2400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0.21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0.13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0.03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0.10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0.19</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0.30</w:t>
            </w:r>
          </w:p>
        </w:tc>
        <w:tc>
          <w:tcPr>
            <w:tcW w:type="dxa" w:w="1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0.67</w:t>
            </w:r>
          </w:p>
        </w:tc>
      </w:tr>
      <w:tr>
        <w:tc>
          <w:tcPr>
            <w:tcW w:type="dxa" w:w="2000"/>
            <w:tcBorders>
              <w:top w:val="single" w:color="CCCCCC" w:sz="1"/>
              <w:left w:val="single" w:color="CCCCCC" w:sz="1"/>
              <w:bottom w:val="single" w:color="CCCCCC" w:sz="1"/>
              <w:right w:val="single" w:color="CCCCCC" w:sz="1"/>
            </w:tcBorders>
            <w:shd w:fill="EFF4FB" w:val="clear"/>
            <w:tcMar>
              <w:top w:type="dxa" w:w="70"/>
              <w:left w:type="dxa" w:w="100"/>
              <w:bottom w:type="dxa" w:w="70"/>
              <w:right w:type="dxa" w:w="80"/>
            </w:tcMar>
          </w:tcPr>
          <w:p>
            <w:pPr>
              <w:jc w:val="left"/>
            </w:pPr>
            <w:r>
              <w:rPr>
                <w:rFonts w:ascii="Arial" w:cs="Arial" w:eastAsia="Arial" w:hAnsi="Arial"/>
                <w:b/>
                <w:bCs/>
                <w:color w:val="222222"/>
                <w:sz w:val="17"/>
                <w:szCs w:val="17"/>
              </w:rPr>
              <w:t xml:space="preserve">Built-up Area (%)</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2400</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60.4</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22.3</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5.0</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45.0</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65.0</w:t>
            </w:r>
          </w:p>
        </w:tc>
        <w:tc>
          <w:tcPr>
            <w:tcW w:type="dxa" w:w="10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78.0</w:t>
            </w:r>
          </w:p>
        </w:tc>
        <w:tc>
          <w:tcPr>
            <w:tcW w:type="dxa" w:w="112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95.0</w:t>
            </w:r>
          </w:p>
        </w:tc>
      </w:tr>
      <w:tr>
        <w:tc>
          <w:tcPr>
            <w:tcW w:type="dxa" w:w="2000"/>
            <w:tcBorders>
              <w:top w:val="single" w:color="CCCCCC" w:sz="1"/>
              <w:left w:val="single" w:color="CCCCCC" w:sz="1"/>
              <w:bottom w:val="single" w:color="CCCCCC" w:sz="1"/>
              <w:right w:val="single" w:color="CCCCCC" w:sz="1"/>
            </w:tcBorders>
            <w:shd w:fill="EFF4FB" w:val="clear"/>
            <w:tcMar>
              <w:top w:type="dxa" w:w="70"/>
              <w:left w:type="dxa" w:w="100"/>
              <w:bottom w:type="dxa" w:w="70"/>
              <w:right w:type="dxa" w:w="80"/>
            </w:tcMar>
          </w:tcPr>
          <w:p>
            <w:pPr>
              <w:jc w:val="left"/>
            </w:pPr>
            <w:r>
              <w:rPr>
                <w:rFonts w:ascii="Arial" w:cs="Arial" w:eastAsia="Arial" w:hAnsi="Arial"/>
                <w:b/>
                <w:bCs/>
                <w:color w:val="222222"/>
                <w:sz w:val="17"/>
                <w:szCs w:val="17"/>
              </w:rPr>
              <w:t xml:space="preserve">Pop Density (p/km²)</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2400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14200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8300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500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7500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14000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21000</w:t>
            </w:r>
          </w:p>
        </w:tc>
        <w:tc>
          <w:tcPr>
            <w:tcW w:type="dxa" w:w="1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35000</w:t>
            </w:r>
          </w:p>
        </w:tc>
      </w:tr>
      <w:tr>
        <w:tc>
          <w:tcPr>
            <w:tcW w:type="dxa" w:w="2000"/>
            <w:tcBorders>
              <w:top w:val="single" w:color="CCCCCC" w:sz="1"/>
              <w:left w:val="single" w:color="CCCCCC" w:sz="1"/>
              <w:bottom w:val="single" w:color="CCCCCC" w:sz="1"/>
              <w:right w:val="single" w:color="CCCCCC" w:sz="1"/>
            </w:tcBorders>
            <w:shd w:fill="EFF4FB" w:val="clear"/>
            <w:tcMar>
              <w:top w:type="dxa" w:w="70"/>
              <w:left w:type="dxa" w:w="100"/>
              <w:bottom w:type="dxa" w:w="70"/>
              <w:right w:type="dxa" w:w="80"/>
            </w:tcMar>
          </w:tcPr>
          <w:p>
            <w:pPr>
              <w:jc w:val="left"/>
            </w:pPr>
            <w:r>
              <w:rPr>
                <w:rFonts w:ascii="Arial" w:cs="Arial" w:eastAsia="Arial" w:hAnsi="Arial"/>
                <w:b/>
                <w:bCs/>
                <w:color w:val="222222"/>
                <w:sz w:val="17"/>
                <w:szCs w:val="17"/>
              </w:rPr>
              <w:t xml:space="preserve">UHI Intensity (°C)</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2400</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2.1</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3.4</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-3.8</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0.2</w:t>
            </w:r>
          </w:p>
        </w:tc>
        <w:tc>
          <w:tcPr>
            <w:tcW w:type="dxa" w:w="11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1.9</w:t>
            </w:r>
          </w:p>
        </w:tc>
        <w:tc>
          <w:tcPr>
            <w:tcW w:type="dxa" w:w="100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4.1</w:t>
            </w:r>
          </w:p>
        </w:tc>
        <w:tc>
          <w:tcPr>
            <w:tcW w:type="dxa" w:w="1120"/>
            <w:tcBorders>
              <w:top w:val="single" w:color="CCCCCC" w:sz="1"/>
              <w:left w:val="single" w:color="CCCCCC" w:sz="1"/>
              <w:bottom w:val="single" w:color="CCCCCC" w:sz="1"/>
              <w:right w:val="single" w:color="CCCCCC" w:sz="1"/>
            </w:tcBorders>
            <w:shd w:fill="FAFBFE" w:val="clear"/>
            <w:tcMar>
              <w:top w:type="dxa" w:w="70"/>
              <w:left w:type="dxa" w:w="100"/>
              <w:bottom w:type="dxa" w:w="70"/>
              <w:right w:type="dxa" w:w="80"/>
            </w:tcMar>
          </w:tcPr>
          <w:p>
            <w:pPr>
              <w:jc w:val="center"/>
            </w:pPr>
            <w:r>
              <w:rPr>
                <w:rFonts w:ascii="Arial" w:cs="Arial" w:eastAsia="Arial" w:hAnsi="Arial"/>
                <w:b w:val="false"/>
                <w:bCs w:val="false"/>
                <w:color w:val="222222"/>
                <w:sz w:val="17"/>
                <w:szCs w:val="17"/>
              </w:rPr>
              <w:t xml:space="preserve">9.6</w:t>
            </w:r>
          </w:p>
        </w:tc>
      </w:tr>
    </w:tbl>
    <w:p>
      <w:pPr>
        <w:spacing w:before="60" w:after="200"/>
        <w:jc w:val="center"/>
      </w:pPr>
      <w:r>
        <w:rPr>
          <w:rFonts w:ascii="Arial" w:cs="Arial" w:eastAsia="Arial" w:hAnsi="Arial"/>
          <w:b/>
          <w:bCs/>
          <w:i/>
          <w:iCs/>
          <w:color w:val="444444"/>
          <w:sz w:val="18"/>
          <w:szCs w:val="18"/>
        </w:rPr>
        <w:t xml:space="preserve">Table 4.1: </w:t>
      </w:r>
      <w:r>
        <w:rPr>
          <w:rFonts w:ascii="Arial" w:cs="Arial" w:eastAsia="Arial" w:hAnsi="Arial"/>
          <w:b/>
          <w:bCs/>
          <w:color w:val="333333"/>
          <w:sz w:val="18"/>
          <w:szCs w:val="18"/>
        </w:rPr>
        <w:t xml:space="preserve">Summary Statistics — All Features</w:t>
      </w:r>
      <w:r>
        <w:rPr>
          <w:rFonts w:ascii="Arial" w:cs="Arial" w:eastAsia="Arial" w:hAnsi="Arial"/>
          <w:i/>
          <w:iCs/>
          <w:color w:val="666666"/>
          <w:sz w:val="18"/>
          <w:szCs w:val="18"/>
        </w:rPr>
        <w:t xml:space="preserve"> — 2,400 ward-month observations, 2019–2023</w:t>
      </w:r>
    </w:p>
    <w:p>
      <w:pPr>
        <w:pStyle w:val="Heading2"/>
        <w:spacing w:before="280" w:after="100"/>
      </w:pPr>
      <w:r>
        <w:rPr>
          <w:rFonts w:ascii="Arial" w:cs="Arial" w:eastAsia="Arial" w:hAnsi="Arial"/>
          <w:b/>
          <w:bCs/>
          <w:color w:val="2563A8"/>
          <w:sz w:val="26"/>
          <w:szCs w:val="26"/>
        </w:rPr>
        <w:t xml:space="preserve">4.2  Distribution Analysis</w:t>
      </w:r>
    </w:p>
    <w:p>
      <w:pPr>
        <w:spacing w:before="80" w:after="120"/>
        <w:jc w:val="both"/>
      </w:pPr>
      <w:r>
        <w:rPr>
          <w:rFonts w:ascii="Arial" w:cs="Arial" w:eastAsia="Arial" w:hAnsi="Arial"/>
          <w:sz w:val="20"/>
          <w:szCs w:val="20"/>
        </w:rPr>
        <w:t xml:space="preserve">Figure 4.2 presents the distribution of each variable. Six panels cover: LST histogram with KDE, NDVI histogram, built-up area percentage histogram, box plots of LST by LULC class, UHI intensity distribution, and population density in log scale.</w:t>
      </w:r>
    </w:p>
    <w:p>
      <w:pPr>
        <w:spacing w:before="0" w:after="0"/>
      </w:pPr>
      <w:r>
        <w:rPr>
          <w:rFonts w:ascii="Arial" w:cs="Arial" w:eastAsia="Arial" w:hAnsi="Arial"/>
          <w:sz w:val="20"/>
          <w:szCs w:val="20"/>
        </w:rPr>
        <w:t xml:space="preserve"/>
      </w:r>
    </w:p>
    <w:p>
      <w:pPr>
        <w:spacing w:before="140" w:after="80"/>
        <w:jc w:val="center"/>
      </w:pPr>
      <w:r>
        <w:drawing>
          <wp:inline distT="0" distB="0" distL="0" distR="0">
            <wp:extent cx="5905500" cy="3219450"/>
            <wp:effectExtent t="0" r="0" b="0" l="0"/>
            <wp:docPr id="1" name="EDA_univariate.png" descr="EDA_univariate.png" title="EDA_univar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19450"/>
                    </a:xfrm>
                    <a:prstGeom prst="rect">
                      <a:avLst/>
                    </a:prstGeom>
                  </pic:spPr>
                </pic:pic>
              </a:graphicData>
            </a:graphic>
          </wp:inline>
        </w:drawing>
      </w:r>
    </w:p>
    <w:p>
      <w:pPr>
        <w:spacing w:before="60" w:after="200"/>
        <w:jc w:val="center"/>
      </w:pPr>
      <w:r>
        <w:rPr>
          <w:rFonts w:ascii="Arial" w:cs="Arial" w:eastAsia="Arial" w:hAnsi="Arial"/>
          <w:b/>
          <w:bCs/>
          <w:i/>
          <w:iCs/>
          <w:color w:val="444444"/>
          <w:sz w:val="18"/>
          <w:szCs w:val="18"/>
        </w:rPr>
        <w:t xml:space="preserve">Figure 4.2: </w:t>
      </w:r>
      <w:r>
        <w:rPr>
          <w:rFonts w:ascii="Arial" w:cs="Arial" w:eastAsia="Arial" w:hAnsi="Arial"/>
          <w:b/>
          <w:bCs/>
          <w:color w:val="333333"/>
          <w:sz w:val="18"/>
          <w:szCs w:val="18"/>
        </w:rPr>
        <w:t xml:space="preserve">Univariate Distributions — All Six Features</w:t>
      </w:r>
      <w:r>
        <w:rPr>
          <w:rFonts w:ascii="Arial" w:cs="Arial" w:eastAsia="Arial" w:hAnsi="Arial"/>
          <w:i/>
          <w:iCs/>
          <w:color w:val="666666"/>
          <w:sz w:val="18"/>
          <w:szCs w:val="18"/>
        </w:rPr>
        <w:t xml:space="preserve"> — Histograms with KDE, box plots by land use, UHI intensity, and log-scale population density</w:t>
      </w:r>
    </w:p>
    <w:p>
      <w:pPr>
        <w:pStyle w:val="Heading2"/>
        <w:spacing w:before="280" w:after="100"/>
      </w:pPr>
      <w:r>
        <w:rPr>
          <w:rFonts w:ascii="Arial" w:cs="Arial" w:eastAsia="Arial" w:hAnsi="Arial"/>
          <w:b/>
          <w:bCs/>
          <w:color w:val="2563A8"/>
          <w:sz w:val="26"/>
          <w:szCs w:val="26"/>
        </w:rPr>
        <w:t xml:space="preserve">4.3  Key Univariate Observations</w:t>
      </w:r>
    </w:p>
    <w:p>
      <w:pPr>
        <w:pStyle w:val="ListParagraph"/>
        <w:numPr>
          <w:ilvl w:val="0"/>
          <w:numId w:val="3"/>
        </w:numPr>
        <w:spacing w:before="60" w:after="60"/>
      </w:pPr>
      <w:r>
        <w:rPr>
          <w:rFonts w:ascii="Arial" w:cs="Arial" w:eastAsia="Arial" w:hAnsi="Arial"/>
          <w:b/>
          <w:bCs/>
          <w:sz w:val="20"/>
          <w:szCs w:val="20"/>
        </w:rPr>
        <w:t xml:space="preserve">LST Distribution: </w:t>
      </w:r>
      <w:r>
        <w:rPr>
          <w:rFonts w:ascii="Arial" w:cs="Arial" w:eastAsia="Arial" w:hAnsi="Arial"/>
          <w:sz w:val="20"/>
          <w:szCs w:val="20"/>
        </w:rPr>
        <w:t xml:space="preserve">Slightly right-skewed with mean 36.0°C across all months. The long upper tail is driven by industrial ward observations in May–June. The distribution does not satisfy the normality assumption (Shapiro-Wilk p &lt; 0.01), so non-parametric correlation measures should accompany Pearson r in significance tests.</w:t>
      </w:r>
    </w:p>
    <w:p>
      <w:pPr>
        <w:pStyle w:val="ListParagraph"/>
        <w:numPr>
          <w:ilvl w:val="0"/>
          <w:numId w:val="3"/>
        </w:numPr>
        <w:spacing w:before="60" w:after="60"/>
      </w:pPr>
      <w:r>
        <w:rPr>
          <w:rFonts w:ascii="Arial" w:cs="Arial" w:eastAsia="Arial" w:hAnsi="Arial"/>
          <w:b/>
          <w:bCs/>
          <w:sz w:val="20"/>
          <w:szCs w:val="20"/>
        </w:rPr>
        <w:t xml:space="preserve">NDVI Bimodality: </w:t>
      </w:r>
      <w:r>
        <w:rPr>
          <w:rFonts w:ascii="Arial" w:cs="Arial" w:eastAsia="Arial" w:hAnsi="Arial"/>
          <w:sz w:val="20"/>
          <w:szCs w:val="20"/>
        </w:rPr>
        <w:t xml:space="preserve">The NDVI histogram reveals two distinct peaks: vegetated wards (NDVI ≈ 0.45) and built-up wards (NDVI ≈ 0.10), validating the LULC classification. The bimodal shape also confirms that ward-level mean NDVI is a meaningful discriminator of land use type.</w:t>
      </w:r>
    </w:p>
    <w:p>
      <w:pPr>
        <w:pStyle w:val="ListParagraph"/>
        <w:numPr>
          <w:ilvl w:val="0"/>
          <w:numId w:val="3"/>
        </w:numPr>
        <w:spacing w:before="60" w:after="60"/>
      </w:pPr>
      <w:r>
        <w:rPr>
          <w:rFonts w:ascii="Arial" w:cs="Arial" w:eastAsia="Arial" w:hAnsi="Arial"/>
          <w:b/>
          <w:bCs/>
          <w:sz w:val="20"/>
          <w:szCs w:val="20"/>
        </w:rPr>
        <w:t xml:space="preserve">LST by LULC Class: </w:t>
      </w:r>
      <w:r>
        <w:rPr>
          <w:rFonts w:ascii="Arial" w:cs="Arial" w:eastAsia="Arial" w:hAnsi="Arial"/>
          <w:sz w:val="20"/>
          <w:szCs w:val="20"/>
        </w:rPr>
        <w:t xml:space="preserve">Industrial wards exhibit the highest median LST (42.1°C in May), followed by residential (39.4°C), mixed (38.2°C), vegetation (34.8°C), and water bodies (30.5°C). The interquartile range is narrowest for industrial wards, indicating consistent thermal behaviour within that class.</w:t>
      </w:r>
    </w:p>
    <w:p>
      <w:pPr>
        <w:pStyle w:val="ListParagraph"/>
        <w:numPr>
          <w:ilvl w:val="0"/>
          <w:numId w:val="3"/>
        </w:numPr>
        <w:spacing w:before="60" w:after="60"/>
      </w:pPr>
      <w:r>
        <w:rPr>
          <w:rFonts w:ascii="Arial" w:cs="Arial" w:eastAsia="Arial" w:hAnsi="Arial"/>
          <w:b/>
          <w:bCs/>
          <w:sz w:val="20"/>
          <w:szCs w:val="20"/>
        </w:rPr>
        <w:t xml:space="preserve">UHI Intensity Distribution: </w:t>
      </w:r>
      <w:r>
        <w:rPr>
          <w:rFonts w:ascii="Arial" w:cs="Arial" w:eastAsia="Arial" w:hAnsi="Arial"/>
          <w:sz w:val="20"/>
          <w:szCs w:val="20"/>
        </w:rPr>
        <w:t xml:space="preserve">72% of ward-month observations show positive UHI intensity. The distribution has a long positive tail driven by industrial wards in pre-monsoon season. Negative values occur in vegetated wards during the monsoon, when local evapotranspiration cools them below the rural baseline.</w:t>
      </w:r>
    </w:p>
    <w:p>
      <w:pPr>
        <w:pStyle w:val="ListParagraph"/>
        <w:numPr>
          <w:ilvl w:val="0"/>
          <w:numId w:val="3"/>
        </w:numPr>
        <w:spacing w:before="60" w:after="60"/>
      </w:pPr>
      <w:r>
        <w:rPr>
          <w:rFonts w:ascii="Arial" w:cs="Arial" w:eastAsia="Arial" w:hAnsi="Arial"/>
          <w:b/>
          <w:bCs/>
          <w:sz w:val="20"/>
          <w:szCs w:val="20"/>
        </w:rPr>
        <w:t xml:space="preserve">Population Density: </w:t>
      </w:r>
      <w:r>
        <w:rPr>
          <w:rFonts w:ascii="Arial" w:cs="Arial" w:eastAsia="Arial" w:hAnsi="Arial"/>
          <w:sz w:val="20"/>
          <w:szCs w:val="20"/>
        </w:rPr>
        <w:t xml:space="preserve">Strongly right-skewed (range: 500–35,000 persons/km²). Log transformation compresses the scale appropriately for use as a model input feature. The five densest wards (&gt;25,000 persons/km²) are all classified as high-density residential.</w:t>
      </w:r>
    </w:p>
    <w:p>
      <w:pPr>
        <w:pageBreakBefore/>
      </w:pPr>
      <w:r>
        <w:rPr>
          <w:rFonts w:ascii="Arial" w:cs="Arial" w:eastAsia="Arial" w:hAnsi="Arial"/>
          <w:sz w:val="20"/>
          <w:szCs w:val="20"/>
        </w:rPr>
        <w:t xml:space="preserve"/>
      </w:r>
    </w:p>
    <w:p>
      <w:pPr>
        <w:pStyle w:val="Heading1"/>
        <w:pBdr>
          <w:bottom w:val="single" w:color="2563A8" w:sz="8" w:space="6"/>
        </w:pBdr>
        <w:spacing w:before="400" w:after="160"/>
      </w:pPr>
      <w:r>
        <w:rPr>
          <w:rFonts w:ascii="Arial" w:cs="Arial" w:eastAsia="Arial" w:hAnsi="Arial"/>
          <w:b/>
          <w:bCs/>
          <w:color w:val="1E3A5F"/>
          <w:sz w:val="32"/>
          <w:szCs w:val="32"/>
        </w:rPr>
        <w:t xml:space="preserve">5.  Bivariate &amp; Multivariate Analysis</w:t>
      </w:r>
    </w:p>
    <w:p>
      <w:pPr>
        <w:pStyle w:val="Heading2"/>
        <w:spacing w:before="280" w:after="100"/>
      </w:pPr>
      <w:r>
        <w:rPr>
          <w:rFonts w:ascii="Arial" w:cs="Arial" w:eastAsia="Arial" w:hAnsi="Arial"/>
          <w:b/>
          <w:bCs/>
          <w:color w:val="2563A8"/>
          <w:sz w:val="26"/>
          <w:szCs w:val="26"/>
        </w:rPr>
        <w:t xml:space="preserve">5.1  NDVI vs LST — The Core Relationship</w:t>
      </w:r>
    </w:p>
    <w:p>
      <w:pPr>
        <w:spacing w:before="80" w:after="120"/>
        <w:jc w:val="both"/>
      </w:pPr>
      <w:r>
        <w:rPr>
          <w:rFonts w:ascii="Arial" w:cs="Arial" w:eastAsia="Arial" w:hAnsi="Arial"/>
          <w:sz w:val="20"/>
          <w:szCs w:val="20"/>
        </w:rPr>
        <w:t xml:space="preserve">Figure 5.1 presents the centrepiece analysis: the relationship between NDVI and LST across all wards and months, coloured by land use class. The strong negative correlation (r = −0.74, p &lt; 0.001) confirms vegetation density as the dominant moderator of surface temperature. Each LULC class occupies a distinct region of the scatter space: industrial wards cluster in the high-LST, low-NDVI quadrant; vegetated wards in the low-LST, high-NDVI quadrant; residential wards span the middle range.</w:t>
      </w:r>
    </w:p>
    <w:p>
      <w:pPr>
        <w:spacing w:before="0" w:after="0"/>
      </w:pPr>
      <w:r>
        <w:rPr>
          <w:rFonts w:ascii="Arial" w:cs="Arial" w:eastAsia="Arial" w:hAnsi="Arial"/>
          <w:sz w:val="20"/>
          <w:szCs w:val="20"/>
        </w:rPr>
        <w:t xml:space="preserve"/>
      </w:r>
    </w:p>
    <w:p>
      <w:pPr>
        <w:spacing w:before="140" w:after="80"/>
        <w:jc w:val="center"/>
      </w:pPr>
      <w:r>
        <w:drawing>
          <wp:inline distT="0" distB="0" distL="0" distR="0">
            <wp:extent cx="5905500" cy="2362200"/>
            <wp:effectExtent t="0" r="0" b="0" l="0"/>
            <wp:docPr id="1" name="EDA_bivariate.png" descr="EDA_bivariate.png" title="EDA_bivar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p>
      <w:pPr>
        <w:spacing w:before="60" w:after="200"/>
        <w:jc w:val="center"/>
      </w:pPr>
      <w:r>
        <w:rPr>
          <w:rFonts w:ascii="Arial" w:cs="Arial" w:eastAsia="Arial" w:hAnsi="Arial"/>
          <w:b/>
          <w:bCs/>
          <w:i/>
          <w:iCs/>
          <w:color w:val="444444"/>
          <w:sz w:val="18"/>
          <w:szCs w:val="18"/>
        </w:rPr>
        <w:t xml:space="preserve">Figure 5.1 &amp; 5.2: </w:t>
      </w:r>
      <w:r>
        <w:rPr>
          <w:rFonts w:ascii="Arial" w:cs="Arial" w:eastAsia="Arial" w:hAnsi="Arial"/>
          <w:b/>
          <w:bCs/>
          <w:color w:val="333333"/>
          <w:sz w:val="18"/>
          <w:szCs w:val="18"/>
        </w:rPr>
        <w:t xml:space="preserve">NDVI vs LST by Land Use Class; Full Correlation Matrix</w:t>
      </w:r>
      <w:r>
        <w:rPr>
          <w:rFonts w:ascii="Arial" w:cs="Arial" w:eastAsia="Arial" w:hAnsi="Arial"/>
          <w:i/>
          <w:iCs/>
          <w:color w:val="666666"/>
          <w:sz w:val="18"/>
          <w:szCs w:val="18"/>
        </w:rPr>
        <w:t xml:space="preserve"> — Regression line (r = −0.74, p &lt; 0.001) with LULC colouring; Pearson heatmap all features</w:t>
      </w:r>
    </w:p>
    <w:p>
      <w:pPr>
        <w:pStyle w:val="Heading2"/>
        <w:spacing w:before="280" w:after="100"/>
      </w:pPr>
      <w:r>
        <w:rPr>
          <w:rFonts w:ascii="Arial" w:cs="Arial" w:eastAsia="Arial" w:hAnsi="Arial"/>
          <w:b/>
          <w:bCs/>
          <w:color w:val="2563A8"/>
          <w:sz w:val="26"/>
          <w:szCs w:val="26"/>
        </w:rPr>
        <w:t xml:space="preserve">5.2  Correlation Matrix</w:t>
      </w:r>
    </w:p>
    <w:p>
      <w:pPr>
        <w:spacing w:before="80" w:after="120"/>
        <w:jc w:val="both"/>
      </w:pPr>
      <w:r>
        <w:rPr>
          <w:rFonts w:ascii="Arial" w:cs="Arial" w:eastAsia="Arial" w:hAnsi="Arial"/>
          <w:sz w:val="20"/>
          <w:szCs w:val="20"/>
        </w:rPr>
        <w:t xml:space="preserve">The correlation heatmap (Figure 5.2, right panel) quantifies pairwise relationships between all five variables. Key values for predicting LST:</w:t>
      </w:r>
    </w:p>
    <w:p>
      <w:pPr>
        <w:pStyle w:val="ListParagraph"/>
        <w:numPr>
          <w:ilvl w:val="0"/>
          <w:numId w:val="3"/>
        </w:numPr>
        <w:spacing w:before="60" w:after="60"/>
      </w:pPr>
      <w:r>
        <w:rPr>
          <w:rFonts w:ascii="Arial" w:cs="Arial" w:eastAsia="Arial" w:hAnsi="Arial"/>
          <w:b/>
          <w:bCs/>
          <w:sz w:val="20"/>
          <w:szCs w:val="20"/>
        </w:rPr>
        <w:t xml:space="preserve">NDVI vs LST: r = −0.74</w:t>
      </w:r>
      <w:r>
        <w:rPr>
          <w:rFonts w:ascii="Arial" w:cs="Arial" w:eastAsia="Arial" w:hAnsi="Arial"/>
          <w:sz w:val="20"/>
          <w:szCs w:val="20"/>
        </w:rPr>
        <w:t xml:space="preserve"> — strongest predictor. Negative: more greenery = lower temperature. Effect is most pronounced in the pre-monsoon season.</w:t>
      </w:r>
    </w:p>
    <w:p>
      <w:pPr>
        <w:pStyle w:val="ListParagraph"/>
        <w:numPr>
          <w:ilvl w:val="0"/>
          <w:numId w:val="3"/>
        </w:numPr>
        <w:spacing w:before="60" w:after="60"/>
      </w:pPr>
      <w:r>
        <w:rPr>
          <w:rFonts w:ascii="Arial" w:cs="Arial" w:eastAsia="Arial" w:hAnsi="Arial"/>
          <w:b/>
          <w:bCs/>
          <w:sz w:val="20"/>
          <w:szCs w:val="20"/>
        </w:rPr>
        <w:t xml:space="preserve">Built-up % vs LST: r = +0.68</w:t>
      </w:r>
      <w:r>
        <w:rPr>
          <w:rFonts w:ascii="Arial" w:cs="Arial" w:eastAsia="Arial" w:hAnsi="Arial"/>
          <w:sz w:val="20"/>
          <w:szCs w:val="20"/>
        </w:rPr>
        <w:t xml:space="preserve"> — second strongest. Impervious surfaces retain and re-emit solar energy, driving daytime heat.</w:t>
      </w:r>
    </w:p>
    <w:p>
      <w:pPr>
        <w:pStyle w:val="ListParagraph"/>
        <w:numPr>
          <w:ilvl w:val="0"/>
          <w:numId w:val="3"/>
        </w:numPr>
        <w:spacing w:before="60" w:after="60"/>
      </w:pPr>
      <w:r>
        <w:rPr>
          <w:rFonts w:ascii="Arial" w:cs="Arial" w:eastAsia="Arial" w:hAnsi="Arial"/>
          <w:b/>
          <w:bCs/>
          <w:sz w:val="20"/>
          <w:szCs w:val="20"/>
        </w:rPr>
        <w:t xml:space="preserve">Population density vs LST: r = +0.41</w:t>
      </w:r>
      <w:r>
        <w:rPr>
          <w:rFonts w:ascii="Arial" w:cs="Arial" w:eastAsia="Arial" w:hAnsi="Arial"/>
          <w:sz w:val="20"/>
          <w:szCs w:val="20"/>
        </w:rPr>
        <w:t xml:space="preserve"> — moderate positive correlation, partly collinear with built-up percentage.</w:t>
      </w:r>
    </w:p>
    <w:p>
      <w:pPr>
        <w:pStyle w:val="ListParagraph"/>
        <w:numPr>
          <w:ilvl w:val="0"/>
          <w:numId w:val="3"/>
        </w:numPr>
        <w:spacing w:before="60" w:after="60"/>
      </w:pPr>
      <w:r>
        <w:rPr>
          <w:rFonts w:ascii="Arial" w:cs="Arial" w:eastAsia="Arial" w:hAnsi="Arial"/>
          <w:b/>
          <w:bCs/>
          <w:sz w:val="20"/>
          <w:szCs w:val="20"/>
        </w:rPr>
        <w:t xml:space="preserve">NDVI vs Built-up %: r = −0.81</w:t>
      </w:r>
      <w:r>
        <w:rPr>
          <w:rFonts w:ascii="Arial" w:cs="Arial" w:eastAsia="Arial" w:hAnsi="Arial"/>
          <w:sz w:val="20"/>
          <w:szCs w:val="20"/>
        </w:rPr>
        <w:t xml:space="preserve"> — high multicollinearity between the two main predictors. Feature selection or regularisation required in modelling phase.</w:t>
      </w:r>
    </w:p>
    <w:p>
      <w:pPr>
        <w:pStyle w:val="ListParagraph"/>
        <w:numPr>
          <w:ilvl w:val="0"/>
          <w:numId w:val="3"/>
        </w:numPr>
        <w:spacing w:before="60" w:after="60"/>
      </w:pPr>
      <w:r>
        <w:rPr>
          <w:rFonts w:ascii="Arial" w:cs="Arial" w:eastAsia="Arial" w:hAnsi="Arial"/>
          <w:b/>
          <w:bCs/>
          <w:sz w:val="20"/>
          <w:szCs w:val="20"/>
        </w:rPr>
        <w:t xml:space="preserve">UHI Intensity vs LST: r = +0.96</w:t>
      </w:r>
      <w:r>
        <w:rPr>
          <w:rFonts w:ascii="Arial" w:cs="Arial" w:eastAsia="Arial" w:hAnsi="Arial"/>
          <w:sz w:val="20"/>
          <w:szCs w:val="20"/>
        </w:rPr>
        <w:t xml:space="preserve"> — near-perfect by construction (UHI is a linear transform of LST relative to a baseline).</w:t>
      </w:r>
    </w:p>
    <w:p>
      <w:pPr>
        <w:pStyle w:val="Heading2"/>
        <w:spacing w:before="280" w:after="100"/>
      </w:pPr>
      <w:r>
        <w:rPr>
          <w:rFonts w:ascii="Arial" w:cs="Arial" w:eastAsia="Arial" w:hAnsi="Arial"/>
          <w:b/>
          <w:bCs/>
          <w:color w:val="2563A8"/>
          <w:sz w:val="26"/>
          <w:szCs w:val="26"/>
        </w:rPr>
        <w:t xml:space="preserve">5.3  UHI Intensity by Land Use Class</w:t>
      </w:r>
    </w:p>
    <w:p>
      <w:pPr>
        <w:spacing w:before="80" w:after="120"/>
        <w:jc w:val="both"/>
      </w:pPr>
      <w:r>
        <w:rPr>
          <w:rFonts w:ascii="Arial" w:cs="Arial" w:eastAsia="Arial" w:hAnsi="Arial"/>
          <w:sz w:val="20"/>
          <w:szCs w:val="20"/>
        </w:rPr>
        <w:t xml:space="preserve">Figure 5.3 presents violin plots of UHI intensity per LULC class. Violin plots reveal both the median (white line) and the full distribution shape, showing that industrial wards have a narrow, high-UHI distribution while residential wards are more spread — reflecting greater internal heterogeneity within that broad class.</w:t>
      </w:r>
    </w:p>
    <w:p>
      <w:pPr>
        <w:spacing w:before="0" w:after="0"/>
      </w:pPr>
      <w:r>
        <w:rPr>
          <w:rFonts w:ascii="Arial" w:cs="Arial" w:eastAsia="Arial" w:hAnsi="Arial"/>
          <w:sz w:val="20"/>
          <w:szCs w:val="20"/>
        </w:rPr>
        <w:t xml:space="preserve"/>
      </w:r>
    </w:p>
    <w:p>
      <w:pPr>
        <w:spacing w:before="140" w:after="80"/>
        <w:jc w:val="center"/>
      </w:pPr>
      <w:r>
        <w:drawing>
          <wp:inline distT="0" distB="0" distL="0" distR="0">
            <wp:extent cx="5524500" cy="2733675"/>
            <wp:effectExtent t="0" r="0" b="0" l="0"/>
            <wp:docPr id="1" name="EDA_violin_lulc.png" descr="EDA_violin_lulc.png" title="EDA_violin_lu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33675"/>
                    </a:xfrm>
                    <a:prstGeom prst="rect">
                      <a:avLst/>
                    </a:prstGeom>
                  </pic:spPr>
                </pic:pic>
              </a:graphicData>
            </a:graphic>
          </wp:inline>
        </w:drawing>
      </w:r>
    </w:p>
    <w:p>
      <w:pPr>
        <w:spacing w:before="60" w:after="200"/>
        <w:jc w:val="center"/>
      </w:pPr>
      <w:r>
        <w:rPr>
          <w:rFonts w:ascii="Arial" w:cs="Arial" w:eastAsia="Arial" w:hAnsi="Arial"/>
          <w:b/>
          <w:bCs/>
          <w:i/>
          <w:iCs/>
          <w:color w:val="444444"/>
          <w:sz w:val="18"/>
          <w:szCs w:val="18"/>
        </w:rPr>
        <w:t xml:space="preserve">Figure 5.3: </w:t>
      </w:r>
      <w:r>
        <w:rPr>
          <w:rFonts w:ascii="Arial" w:cs="Arial" w:eastAsia="Arial" w:hAnsi="Arial"/>
          <w:b/>
          <w:bCs/>
          <w:color w:val="333333"/>
          <w:sz w:val="18"/>
          <w:szCs w:val="18"/>
        </w:rPr>
        <w:t xml:space="preserve">UHI Intensity Distribution by Land Use Class (Violin Plot)</w:t>
      </w:r>
      <w:r>
        <w:rPr>
          <w:rFonts w:ascii="Arial" w:cs="Arial" w:eastAsia="Arial" w:hAnsi="Arial"/>
          <w:i/>
          <w:iCs/>
          <w:color w:val="666666"/>
          <w:sz w:val="18"/>
          <w:szCs w:val="18"/>
        </w:rPr>
        <w:t xml:space="preserve"> — Industrial wards peak at +4.2°C median. Vegetated wards median −0.3°C (cooler than rural baseline)</w:t>
      </w:r>
    </w:p>
    <w:p>
      <w:pPr>
        <w:pStyle w:val="Heading2"/>
        <w:spacing w:before="280" w:after="100"/>
      </w:pPr>
      <w:r>
        <w:rPr>
          <w:rFonts w:ascii="Arial" w:cs="Arial" w:eastAsia="Arial" w:hAnsi="Arial"/>
          <w:b/>
          <w:bCs/>
          <w:color w:val="2563A8"/>
          <w:sz w:val="26"/>
          <w:szCs w:val="26"/>
        </w:rPr>
        <w:t xml:space="preserve">5.4  Climate Justice Finding</w:t>
      </w:r>
    </w:p>
    <w:p>
      <w:pPr>
        <w:spacing w:before="80" w:after="120"/>
        <w:jc w:val="both"/>
      </w:pPr>
      <w:r>
        <w:rPr>
          <w:rFonts w:ascii="Arial" w:cs="Arial" w:eastAsia="Arial" w:hAnsi="Arial"/>
          <w:sz w:val="20"/>
          <w:szCs w:val="20"/>
        </w:rPr>
        <w:t xml:space="preserve">Cross-tabulation of UHI intensity with population density quintiles reveals that the highest-density wards (&gt;25,000 persons/km²) exhibit a mean UHI intensity of +3.1°C, versus +1.2°C for the lowest-density quintile. In Delhi's urban geography, the densest wards correspond predominantly to lower-income settlements (unauthorised colonies and jhuggi jhopri clusters), meaning the thermal burden of UHI is systematically borne by the most economically vulnerable populations — a direct SDG 10 finding.</w:t>
      </w:r>
    </w:p>
    <w:p>
      <w:pPr>
        <w:pageBreakBefore/>
      </w:pPr>
      <w:r>
        <w:rPr>
          <w:rFonts w:ascii="Arial" w:cs="Arial" w:eastAsia="Arial" w:hAnsi="Arial"/>
          <w:sz w:val="20"/>
          <w:szCs w:val="20"/>
        </w:rPr>
        <w:t xml:space="preserve"/>
      </w:r>
    </w:p>
    <w:p>
      <w:pPr>
        <w:pStyle w:val="Heading1"/>
        <w:pBdr>
          <w:bottom w:val="single" w:color="2563A8" w:sz="8" w:space="6"/>
        </w:pBdr>
        <w:spacing w:before="400" w:after="160"/>
      </w:pPr>
      <w:r>
        <w:rPr>
          <w:rFonts w:ascii="Arial" w:cs="Arial" w:eastAsia="Arial" w:hAnsi="Arial"/>
          <w:b/>
          <w:bCs/>
          <w:color w:val="1E3A5F"/>
          <w:sz w:val="32"/>
          <w:szCs w:val="32"/>
        </w:rPr>
        <w:t xml:space="preserve">6.  Temporal Analysis</w:t>
      </w:r>
    </w:p>
    <w:p>
      <w:pPr>
        <w:pStyle w:val="Heading2"/>
        <w:spacing w:before="280" w:after="100"/>
      </w:pPr>
      <w:r>
        <w:rPr>
          <w:rFonts w:ascii="Arial" w:cs="Arial" w:eastAsia="Arial" w:hAnsi="Arial"/>
          <w:b/>
          <w:bCs/>
          <w:color w:val="2563A8"/>
          <w:sz w:val="26"/>
          <w:szCs w:val="26"/>
        </w:rPr>
        <w:t xml:space="preserve">6.1  Seasonal Cycle of LST</w:t>
      </w:r>
    </w:p>
    <w:p>
      <w:pPr>
        <w:spacing w:before="80" w:after="120"/>
        <w:jc w:val="both"/>
      </w:pPr>
      <w:r>
        <w:rPr>
          <w:rFonts w:ascii="Arial" w:cs="Arial" w:eastAsia="Arial" w:hAnsi="Arial"/>
          <w:sz w:val="20"/>
          <w:szCs w:val="20"/>
        </w:rPr>
        <w:t xml:space="preserve">Figure 6.1 displays the city-wide mean LST for each calendar month, averaged across 2019–2023, with a 95% confidence interval band. The seasonal cycle follows the expected pattern for North Indian cities: LST rises from approximately 26°C in January, peaks at 44°C in May (immediately before monsoon onset), then falls sharply through the monsoon season (June–September) as cloud cover, precipitation, and vegetation growth suppress surface temperatures. The monsoon cooling effect amounts to 8–10°C between May and August — the largest single seasonal driver in the dataset.</w:t>
      </w:r>
    </w:p>
    <w:p>
      <w:pPr>
        <w:spacing w:before="0" w:after="0"/>
      </w:pPr>
      <w:r>
        <w:rPr>
          <w:rFonts w:ascii="Arial" w:cs="Arial" w:eastAsia="Arial" w:hAnsi="Arial"/>
          <w:sz w:val="20"/>
          <w:szCs w:val="20"/>
        </w:rPr>
        <w:t xml:space="preserve"/>
      </w:r>
    </w:p>
    <w:p>
      <w:pPr>
        <w:spacing w:before="140" w:after="80"/>
        <w:jc w:val="center"/>
      </w:pPr>
      <w:r>
        <w:drawing>
          <wp:inline distT="0" distB="0" distL="0" distR="0">
            <wp:extent cx="5524500" cy="2486025"/>
            <wp:effectExtent t="0" r="0" b="0" l="0"/>
            <wp:docPr id="1" name="T1_seasonal_cycle.png" descr="T1_seasonal_cycle.png" title="T1_seasonal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486025"/>
                    </a:xfrm>
                    <a:prstGeom prst="rect">
                      <a:avLst/>
                    </a:prstGeom>
                  </pic:spPr>
                </pic:pic>
              </a:graphicData>
            </a:graphic>
          </wp:inline>
        </w:drawing>
      </w:r>
    </w:p>
    <w:p>
      <w:pPr>
        <w:spacing w:before="60" w:after="200"/>
        <w:jc w:val="center"/>
      </w:pPr>
      <w:r>
        <w:rPr>
          <w:rFonts w:ascii="Arial" w:cs="Arial" w:eastAsia="Arial" w:hAnsi="Arial"/>
          <w:b/>
          <w:bCs/>
          <w:i/>
          <w:iCs/>
          <w:color w:val="444444"/>
          <w:sz w:val="18"/>
          <w:szCs w:val="18"/>
        </w:rPr>
        <w:t xml:space="preserve">Figure 6.1: </w:t>
      </w:r>
      <w:r>
        <w:rPr>
          <w:rFonts w:ascii="Arial" w:cs="Arial" w:eastAsia="Arial" w:hAnsi="Arial"/>
          <w:b/>
          <w:bCs/>
          <w:color w:val="333333"/>
          <w:sz w:val="18"/>
          <w:szCs w:val="18"/>
        </w:rPr>
        <w:t xml:space="preserve">Monthly Mean LST Seasonal Cycle — City-Wide Average (2019–2023)</w:t>
      </w:r>
      <w:r>
        <w:rPr>
          <w:rFonts w:ascii="Arial" w:cs="Arial" w:eastAsia="Arial" w:hAnsi="Arial"/>
          <w:i/>
          <w:iCs/>
          <w:color w:val="666666"/>
          <w:sz w:val="18"/>
          <w:szCs w:val="18"/>
        </w:rPr>
        <w:t xml:space="preserve"> — Red line = mean LST; shaded band = 95% CI; green highlight = monsoon months Jun–Sep</w:t>
      </w:r>
    </w:p>
    <w:p>
      <w:pPr>
        <w:pStyle w:val="Heading2"/>
        <w:spacing w:before="280" w:after="100"/>
      </w:pPr>
      <w:r>
        <w:rPr>
          <w:rFonts w:ascii="Arial" w:cs="Arial" w:eastAsia="Arial" w:hAnsi="Arial"/>
          <w:b/>
          <w:bCs/>
          <w:color w:val="2563A8"/>
          <w:sz w:val="26"/>
          <w:szCs w:val="26"/>
        </w:rPr>
        <w:t xml:space="preserve">6.2  Year-over-Year Trend</w:t>
      </w:r>
    </w:p>
    <w:p>
      <w:pPr>
        <w:spacing w:before="80" w:after="120"/>
        <w:jc w:val="both"/>
      </w:pPr>
      <w:r>
        <w:rPr>
          <w:rFonts w:ascii="Arial" w:cs="Arial" w:eastAsia="Arial" w:hAnsi="Arial"/>
          <w:sz w:val="20"/>
          <w:szCs w:val="20"/>
        </w:rPr>
        <w:t xml:space="preserve">Figure 6.2 presents annual mean May LST (the peak heat month) for each year 2019–2023. A statistically significant warming trend is observed at approximately +0.25°C per year (r = 0.89). The 2020 data point deviates markedly below the trend, coinciding with the COVID-19 lockdown period (April–June 2020) when industrial activity and vehicular traffic were severely curtailed. This natural experiment provides quasi-experimental evidence that anthropogenic heat accounts for approximately 1.8°C of the observed UHI signal — a component independent of built-form and potentially addressable through transport electrification and industrial efficiency policies.</w:t>
      </w:r>
    </w:p>
    <w:p>
      <w:pPr>
        <w:spacing w:before="0" w:after="0"/>
      </w:pPr>
      <w:r>
        <w:rPr>
          <w:rFonts w:ascii="Arial" w:cs="Arial" w:eastAsia="Arial" w:hAnsi="Arial"/>
          <w:sz w:val="20"/>
          <w:szCs w:val="20"/>
        </w:rPr>
        <w:t xml:space="preserve"/>
      </w:r>
    </w:p>
    <w:p>
      <w:pPr>
        <w:spacing w:before="140" w:after="80"/>
        <w:jc w:val="center"/>
      </w:pPr>
      <w:r>
        <w:drawing>
          <wp:inline distT="0" distB="0" distL="0" distR="0">
            <wp:extent cx="5524500" cy="2733675"/>
            <wp:effectExtent t="0" r="0" b="0" l="0"/>
            <wp:docPr id="1" name="T2_yoy_trend.png" descr="T2_yoy_trend.png" title="T2_yoy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33675"/>
                    </a:xfrm>
                    <a:prstGeom prst="rect">
                      <a:avLst/>
                    </a:prstGeom>
                  </pic:spPr>
                </pic:pic>
              </a:graphicData>
            </a:graphic>
          </wp:inline>
        </w:drawing>
      </w:r>
    </w:p>
    <w:p>
      <w:pPr>
        <w:spacing w:before="60" w:after="200"/>
        <w:jc w:val="center"/>
      </w:pPr>
      <w:r>
        <w:rPr>
          <w:rFonts w:ascii="Arial" w:cs="Arial" w:eastAsia="Arial" w:hAnsi="Arial"/>
          <w:b/>
          <w:bCs/>
          <w:i/>
          <w:iCs/>
          <w:color w:val="444444"/>
          <w:sz w:val="18"/>
          <w:szCs w:val="18"/>
        </w:rPr>
        <w:t xml:space="preserve">Figure 6.2: </w:t>
      </w:r>
      <w:r>
        <w:rPr>
          <w:rFonts w:ascii="Arial" w:cs="Arial" w:eastAsia="Arial" w:hAnsi="Arial"/>
          <w:b/>
          <w:bCs/>
          <w:color w:val="333333"/>
          <w:sz w:val="18"/>
          <w:szCs w:val="18"/>
        </w:rPr>
        <w:t xml:space="preserve">Year-over-Year LST Trend — May Peak Month, 2019–2023</w:t>
      </w:r>
      <w:r>
        <w:rPr>
          <w:rFonts w:ascii="Arial" w:cs="Arial" w:eastAsia="Arial" w:hAnsi="Arial"/>
          <w:i/>
          <w:iCs/>
          <w:color w:val="666666"/>
          <w:sz w:val="18"/>
          <w:szCs w:val="18"/>
        </w:rPr>
        <w:t xml:space="preserve"> — Linear trend: +0.25°C/yr (r = 0.89). COVID lockdown cooling anomaly −1.8°C below trend annotated</w:t>
      </w:r>
    </w:p>
    <w:p>
      <w:pPr>
        <w:pStyle w:val="Heading2"/>
        <w:spacing w:before="280" w:after="100"/>
      </w:pPr>
      <w:r>
        <w:rPr>
          <w:rFonts w:ascii="Arial" w:cs="Arial" w:eastAsia="Arial" w:hAnsi="Arial"/>
          <w:b/>
          <w:bCs/>
          <w:color w:val="2563A8"/>
          <w:sz w:val="26"/>
          <w:szCs w:val="26"/>
        </w:rPr>
        <w:t xml:space="preserve">6.3  Ward × Month LST Heatmap</w:t>
      </w:r>
    </w:p>
    <w:p>
      <w:pPr>
        <w:spacing w:before="80" w:after="120"/>
        <w:jc w:val="both"/>
      </w:pPr>
      <w:r>
        <w:rPr>
          <w:rFonts w:ascii="Arial" w:cs="Arial" w:eastAsia="Arial" w:hAnsi="Arial"/>
          <w:sz w:val="20"/>
          <w:szCs w:val="20"/>
        </w:rPr>
        <w:t xml:space="preserve">Figure 6.3 is the most information-dense temporal visualisation in this report. Rows represent wards sorted hottest (top) to coolest (bottom) by annual mean LST; columns represent calendar months. The LULC colour strip on the left confirms that all top-ranked wards are industrial or high-density residential, while all bottom-ranked wards are vegetated. Monsoon months (June–September, green borders) show a uniform compression of the inter-ward temperature range from ~14°C in May to ~7°C in August.</w:t>
      </w:r>
    </w:p>
    <w:p>
      <w:pPr>
        <w:spacing w:before="0" w:after="0"/>
      </w:pPr>
      <w:r>
        <w:rPr>
          <w:rFonts w:ascii="Arial" w:cs="Arial" w:eastAsia="Arial" w:hAnsi="Arial"/>
          <w:sz w:val="20"/>
          <w:szCs w:val="20"/>
        </w:rPr>
        <w:t xml:space="preserve"/>
      </w:r>
    </w:p>
    <w:p>
      <w:pPr>
        <w:spacing w:before="140" w:after="80"/>
        <w:jc w:val="center"/>
      </w:pPr>
      <w:r>
        <w:drawing>
          <wp:inline distT="0" distB="0" distL="0" distR="0">
            <wp:extent cx="4572000" cy="5172075"/>
            <wp:effectExtent t="0" r="0" b="0" l="0"/>
            <wp:docPr id="1" name="T3_ward_month_heatmap.png" descr="T3_ward_month_heatmap.png" title="T3_ward_month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5172075"/>
                    </a:xfrm>
                    <a:prstGeom prst="rect">
                      <a:avLst/>
                    </a:prstGeom>
                  </pic:spPr>
                </pic:pic>
              </a:graphicData>
            </a:graphic>
          </wp:inline>
        </w:drawing>
      </w:r>
    </w:p>
    <w:p>
      <w:pPr>
        <w:spacing w:before="60" w:after="200"/>
        <w:jc w:val="center"/>
      </w:pPr>
      <w:r>
        <w:rPr>
          <w:rFonts w:ascii="Arial" w:cs="Arial" w:eastAsia="Arial" w:hAnsi="Arial"/>
          <w:b/>
          <w:bCs/>
          <w:i/>
          <w:iCs/>
          <w:color w:val="444444"/>
          <w:sz w:val="18"/>
          <w:szCs w:val="18"/>
        </w:rPr>
        <w:t xml:space="preserve">Figure 6.3: </w:t>
      </w:r>
      <w:r>
        <w:rPr>
          <w:rFonts w:ascii="Arial" w:cs="Arial" w:eastAsia="Arial" w:hAnsi="Arial"/>
          <w:b/>
          <w:bCs/>
          <w:color w:val="333333"/>
          <w:sz w:val="18"/>
          <w:szCs w:val="18"/>
        </w:rPr>
        <w:t xml:space="preserve">Ward × Month Mean LST Heatmap (2019–2023 Average)</w:t>
      </w:r>
      <w:r>
        <w:rPr>
          <w:rFonts w:ascii="Arial" w:cs="Arial" w:eastAsia="Arial" w:hAnsi="Arial"/>
          <w:i/>
          <w:iCs/>
          <w:color w:val="666666"/>
          <w:sz w:val="18"/>
          <w:szCs w:val="18"/>
        </w:rPr>
        <w:t xml:space="preserve"> — Wards sorted by annual mean (hottest top). LULC strip left. Red arrows = top 5 hottest wards. Green border = monsoon</w:t>
      </w:r>
    </w:p>
    <w:p>
      <w:pPr>
        <w:pStyle w:val="Heading2"/>
        <w:spacing w:before="280" w:after="100"/>
      </w:pPr>
      <w:r>
        <w:rPr>
          <w:rFonts w:ascii="Arial" w:cs="Arial" w:eastAsia="Arial" w:hAnsi="Arial"/>
          <w:b/>
          <w:bCs/>
          <w:color w:val="2563A8"/>
          <w:sz w:val="26"/>
          <w:szCs w:val="26"/>
        </w:rPr>
        <w:t xml:space="preserve">6.4  Seasonal NDVI–LST Relationships</w:t>
      </w:r>
    </w:p>
    <w:p>
      <w:pPr>
        <w:spacing w:before="80" w:after="120"/>
        <w:jc w:val="both"/>
      </w:pPr>
      <w:r>
        <w:rPr>
          <w:rFonts w:ascii="Arial" w:cs="Arial" w:eastAsia="Arial" w:hAnsi="Arial"/>
          <w:sz w:val="20"/>
          <w:szCs w:val="20"/>
        </w:rPr>
        <w:t xml:space="preserve">Figure 6.4 presents the NDVI–LST scatter separately for each of the four meteorological seasons. The correlation strength varies significantly by season. The pre-monsoon period shows the strongest relationship (r = −0.82), when both the NDVI and LST ranges between wards are at their maximum. During the monsoon, the correlation weakens (r ≈ −0.61) because monsoon rainfall temporarily boosts NDVI even in built-up wards, compressing inter-ward NDVI variation. This seasonal interaction has direct implications for model design: season should be included as an interaction feature with NDVI in any predictive model.</w:t>
      </w:r>
    </w:p>
    <w:p>
      <w:pPr>
        <w:spacing w:before="0" w:after="0"/>
      </w:pPr>
      <w:r>
        <w:rPr>
          <w:rFonts w:ascii="Arial" w:cs="Arial" w:eastAsia="Arial" w:hAnsi="Arial"/>
          <w:sz w:val="20"/>
          <w:szCs w:val="20"/>
        </w:rPr>
        <w:t xml:space="preserve"/>
      </w:r>
    </w:p>
    <w:p>
      <w:pPr>
        <w:spacing w:before="140" w:after="80"/>
        <w:jc w:val="center"/>
      </w:pPr>
      <w:r>
        <w:drawing>
          <wp:inline distT="0" distB="0" distL="0" distR="0">
            <wp:extent cx="5905500" cy="4648200"/>
            <wp:effectExtent t="0" r="0" b="0" l="0"/>
            <wp:docPr id="1" name="T4_seasonal_scatter.png" descr="T4_seasonal_scatter.png" title="T4_seasonal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648200"/>
                    </a:xfrm>
                    <a:prstGeom prst="rect">
                      <a:avLst/>
                    </a:prstGeom>
                  </pic:spPr>
                </pic:pic>
              </a:graphicData>
            </a:graphic>
          </wp:inline>
        </w:drawing>
      </w:r>
    </w:p>
    <w:p>
      <w:pPr>
        <w:spacing w:before="60" w:after="200"/>
        <w:jc w:val="center"/>
      </w:pPr>
      <w:r>
        <w:rPr>
          <w:rFonts w:ascii="Arial" w:cs="Arial" w:eastAsia="Arial" w:hAnsi="Arial"/>
          <w:b/>
          <w:bCs/>
          <w:i/>
          <w:iCs/>
          <w:color w:val="444444"/>
          <w:sz w:val="18"/>
          <w:szCs w:val="18"/>
        </w:rPr>
        <w:t xml:space="preserve">Figure 6.4: </w:t>
      </w:r>
      <w:r>
        <w:rPr>
          <w:rFonts w:ascii="Arial" w:cs="Arial" w:eastAsia="Arial" w:hAnsi="Arial"/>
          <w:b/>
          <w:bCs/>
          <w:color w:val="333333"/>
          <w:sz w:val="18"/>
          <w:szCs w:val="18"/>
        </w:rPr>
        <w:t xml:space="preserve">Seasonal NDVI vs LST — Faceted Scatter by Season</w:t>
      </w:r>
      <w:r>
        <w:rPr>
          <w:rFonts w:ascii="Arial" w:cs="Arial" w:eastAsia="Arial" w:hAnsi="Arial"/>
          <w:i/>
          <w:iCs/>
          <w:color w:val="666666"/>
          <w:sz w:val="18"/>
          <w:szCs w:val="18"/>
        </w:rPr>
        <w:t xml:space="preserve"> — Four panels: Winter, Pre-monsoon, Monsoon, Post-monsoon. Regression ± 95% bootstrap CI. Pearson r annotated</w:t>
      </w:r>
    </w:p>
    <w:p>
      <w:pPr>
        <w:pageBreakBefore/>
      </w:pPr>
      <w:r>
        <w:rPr>
          <w:rFonts w:ascii="Arial" w:cs="Arial" w:eastAsia="Arial" w:hAnsi="Arial"/>
          <w:sz w:val="20"/>
          <w:szCs w:val="20"/>
        </w:rPr>
        <w:t xml:space="preserve"/>
      </w:r>
    </w:p>
    <w:p>
      <w:pPr>
        <w:pStyle w:val="Heading1"/>
        <w:pBdr>
          <w:bottom w:val="single" w:color="2563A8" w:sz="8" w:space="6"/>
        </w:pBdr>
        <w:spacing w:before="400" w:after="160"/>
      </w:pPr>
      <w:r>
        <w:rPr>
          <w:rFonts w:ascii="Arial" w:cs="Arial" w:eastAsia="Arial" w:hAnsi="Arial"/>
          <w:b/>
          <w:bCs/>
          <w:color w:val="1E3A5F"/>
          <w:sz w:val="32"/>
          <w:szCs w:val="32"/>
        </w:rPr>
        <w:t xml:space="preserve">7.  Key Findings &amp; Conclusions</w:t>
      </w:r>
    </w:p>
    <w:p>
      <w:pPr>
        <w:pStyle w:val="Heading2"/>
        <w:spacing w:before="280" w:after="100"/>
      </w:pPr>
      <w:r>
        <w:rPr>
          <w:rFonts w:ascii="Arial" w:cs="Arial" w:eastAsia="Arial" w:hAnsi="Arial"/>
          <w:b/>
          <w:bCs/>
          <w:color w:val="2563A8"/>
          <w:sz w:val="26"/>
          <w:szCs w:val="26"/>
        </w:rPr>
        <w:t xml:space="preserve">7.1  Summary of Findings</w:t>
      </w:r>
    </w:p>
    <w:p>
      <w:pPr>
        <w:spacing w:before="80" w:after="120"/>
        <w:jc w:val="both"/>
      </w:pPr>
      <w:r>
        <w:rPr>
          <w:rFonts w:ascii="Arial" w:cs="Arial" w:eastAsia="Arial" w:hAnsi="Arial"/>
          <w:sz w:val="20"/>
          <w:szCs w:val="20"/>
        </w:rPr>
        <w:t xml:space="preserve">Five principal findings emerge from this EDA. Each follows the structure: Observation → Evidence → Interpretation → Recommendation.</w:t>
      </w:r>
    </w:p>
    <w:p>
      <w:pPr>
        <w:spacing w:before="0" w:after="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A8" w:sz="10"/>
              <w:left w:val="thick" w:color="2563A8" w:sz="14"/>
              <w:bottom w:val="nil" w:color="FFFFFF" w:sz="0"/>
              <w:right w:val="nil" w:color="FFFFFF" w:sz="0"/>
            </w:tcBorders>
            <w:shd w:fill="EFF4FB" w:val="clear"/>
            <w:tcMar>
              <w:top w:type="dxa" w:w="80"/>
              <w:left w:type="dxa" w:w="200"/>
              <w:bottom w:type="dxa" w:w="80"/>
              <w:right w:type="dxa" w:w="160"/>
            </w:tcMar>
          </w:tcPr>
          <w:p>
            <w:pPr>
              <w:spacing w:before="40" w:after="40"/>
              <w:jc w:val="both"/>
            </w:pPr>
            <w:r>
              <w:rPr>
                <w:rFonts w:ascii="Arial" w:cs="Arial" w:eastAsia="Arial" w:hAnsi="Arial"/>
                <w:b/>
                <w:bCs/>
                <w:color w:val="1E3A5F"/>
                <w:sz w:val="20"/>
                <w:szCs w:val="20"/>
              </w:rPr>
              <w:t xml:space="preserve">Finding 1: </w:t>
            </w:r>
            <w:r>
              <w:rPr>
                <w:rFonts w:ascii="Arial" w:cs="Arial" w:eastAsia="Arial" w:hAnsi="Arial"/>
                <w:b/>
                <w:bCs/>
                <w:color w:val="2563A8"/>
                <w:sz w:val="20"/>
                <w:szCs w:val="20"/>
              </w:rPr>
              <w:t xml:space="preserve">NDVI is the strongest cooling driver  (r = −0.74)</w:t>
            </w:r>
          </w:p>
        </w:tc>
      </w:tr>
      <w:tr>
        <w:tc>
          <w:tcPr>
            <w:tcW w:type="dxa" w:w="9720"/>
            <w:tcBorders>
              <w:top w:val="nil" w:color="FFFFFF" w:sz="0"/>
              <w:left w:val="thick" w:color="2563A8" w:sz="14"/>
              <w:bottom w:val="nil" w:color="FFFFFF" w:sz="0"/>
              <w:right w:val="nil" w:color="FFFFFF" w:sz="0"/>
            </w:tcBorders>
            <w:shd w:fill="FAFBFE" w:val="clear"/>
            <w:tcMar>
              <w:top w:type="dxa" w:w="80"/>
              <w:left w:type="dxa" w:w="200"/>
              <w:bottom w:type="dxa" w:w="80"/>
              <w:right w:type="dxa" w:w="160"/>
            </w:tcMar>
          </w:tcPr>
          <w:p>
            <w:pPr>
              <w:spacing w:before="40" w:after="40"/>
              <w:jc w:val="both"/>
            </w:pPr>
            <w:r>
              <w:rPr>
                <w:rFonts w:ascii="Arial" w:cs="Arial" w:eastAsia="Arial" w:hAnsi="Arial"/>
                <w:sz w:val="20"/>
                <w:szCs w:val="20"/>
              </w:rPr>
              <w:t xml:space="preserve">Across all 2,400 ward-month observations, NDVI exhibits the strongest negative correlation with LST (r = −0.74, p &lt; 0.001). A 0.1-unit increase in ward-level NDVI corresponds to approximately 1.9°C reduction in mean LST. This effect is most pronounced in the pre-monsoon season when LST variance is greatest. Vegetated wards consistently maintain LSTs 6–8°C below industrial ward averages in May.</w:t>
            </w:r>
          </w:p>
        </w:tc>
      </w:tr>
      <w:tr>
        <w:tc>
          <w:tcPr>
            <w:tcW w:type="dxa" w:w="9720"/>
            <w:tcBorders>
              <w:top w:val="nil" w:color="FFFFFF" w:sz="0"/>
              <w:left w:val="thick" w:color="2563A8" w:sz="14"/>
              <w:bottom w:val="single" w:color="2563A8" w:sz="8"/>
              <w:right w:val="nil" w:color="FFFFFF" w:sz="0"/>
            </w:tcBorders>
            <w:shd w:fill="E8F0FB" w:val="clear"/>
            <w:tcMar>
              <w:top w:type="dxa" w:w="80"/>
              <w:left w:type="dxa" w:w="200"/>
              <w:bottom w:type="dxa" w:w="80"/>
              <w:right w:type="dxa" w:w="160"/>
            </w:tcMar>
          </w:tcPr>
          <w:p>
            <w:pPr>
              <w:spacing w:before="40" w:after="40"/>
              <w:jc w:val="both"/>
            </w:pPr>
            <w:r>
              <w:rPr>
                <w:rFonts w:ascii="Arial" w:cs="Arial" w:eastAsia="Arial" w:hAnsi="Arial"/>
                <w:b/>
                <w:bCs/>
                <w:color w:val="2563A8"/>
                <w:sz w:val="20"/>
                <w:szCs w:val="20"/>
              </w:rPr>
              <w:t xml:space="preserve">Recommendation: </w:t>
            </w:r>
            <w:r>
              <w:rPr>
                <w:rFonts w:ascii="Arial" w:cs="Arial" w:eastAsia="Arial" w:hAnsi="Arial"/>
                <w:i/>
                <w:iCs/>
                <w:sz w:val="20"/>
                <w:szCs w:val="20"/>
              </w:rPr>
              <w:t xml:space="preserve">The 10 hottest wards should be prioritised for tree-planting programmes targeting NDVI increases of +0.15 (approximately 1,200 trees/km²), which the fitted model predicts would reduce peak ward temperatures by 2.5–3°C.</w:t>
            </w:r>
          </w:p>
        </w:tc>
      </w:tr>
    </w:tbl>
    <w:p>
      <w:pPr>
        <w:spacing w:before="0" w:after="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A8" w:sz="10"/>
              <w:left w:val="thick" w:color="2563A8" w:sz="14"/>
              <w:bottom w:val="nil" w:color="FFFFFF" w:sz="0"/>
              <w:right w:val="nil" w:color="FFFFFF" w:sz="0"/>
            </w:tcBorders>
            <w:shd w:fill="EFF4FB" w:val="clear"/>
            <w:tcMar>
              <w:top w:type="dxa" w:w="80"/>
              <w:left w:type="dxa" w:w="200"/>
              <w:bottom w:type="dxa" w:w="80"/>
              <w:right w:type="dxa" w:w="160"/>
            </w:tcMar>
          </w:tcPr>
          <w:p>
            <w:pPr>
              <w:spacing w:before="40" w:after="40"/>
              <w:jc w:val="both"/>
            </w:pPr>
            <w:r>
              <w:rPr>
                <w:rFonts w:ascii="Arial" w:cs="Arial" w:eastAsia="Arial" w:hAnsi="Arial"/>
                <w:b/>
                <w:bCs/>
                <w:color w:val="1E3A5F"/>
                <w:sz w:val="20"/>
                <w:szCs w:val="20"/>
              </w:rPr>
              <w:t xml:space="preserve">Finding 2: </w:t>
            </w:r>
            <w:r>
              <w:rPr>
                <w:rFonts w:ascii="Arial" w:cs="Arial" w:eastAsia="Arial" w:hAnsi="Arial"/>
                <w:b/>
                <w:bCs/>
                <w:color w:val="2563A8"/>
                <w:sz w:val="20"/>
                <w:szCs w:val="20"/>
              </w:rPr>
              <w:t xml:space="preserve">Industrial wards are 4.2°C hotter than vegetated wards</w:t>
            </w:r>
          </w:p>
        </w:tc>
      </w:tr>
      <w:tr>
        <w:tc>
          <w:tcPr>
            <w:tcW w:type="dxa" w:w="9720"/>
            <w:tcBorders>
              <w:top w:val="nil" w:color="FFFFFF" w:sz="0"/>
              <w:left w:val="thick" w:color="2563A8" w:sz="14"/>
              <w:bottom w:val="nil" w:color="FFFFFF" w:sz="0"/>
              <w:right w:val="nil" w:color="FFFFFF" w:sz="0"/>
            </w:tcBorders>
            <w:shd w:fill="FAFBFE" w:val="clear"/>
            <w:tcMar>
              <w:top w:type="dxa" w:w="80"/>
              <w:left w:type="dxa" w:w="200"/>
              <w:bottom w:type="dxa" w:w="80"/>
              <w:right w:type="dxa" w:w="160"/>
            </w:tcMar>
          </w:tcPr>
          <w:p>
            <w:pPr>
              <w:spacing w:before="40" w:after="40"/>
              <w:jc w:val="both"/>
            </w:pPr>
            <w:r>
              <w:rPr>
                <w:rFonts w:ascii="Arial" w:cs="Arial" w:eastAsia="Arial" w:hAnsi="Arial"/>
                <w:sz w:val="20"/>
                <w:szCs w:val="20"/>
              </w:rPr>
              <w:t xml:space="preserve">Violin plot analysis (Figure 5.3) shows industrial wards have a median UHI intensity of +4.2°C above the rural baseline, versus −0.3°C for vegetated wards — a gap of 4.5°C. The five hottest wards are all industrial or high-density residential. These wards account for only 11% of the study area but sustain temperatures above the heat stress threshold (&gt;40°C) for an average of 71 days per year.</w:t>
            </w:r>
          </w:p>
        </w:tc>
      </w:tr>
      <w:tr>
        <w:tc>
          <w:tcPr>
            <w:tcW w:type="dxa" w:w="9720"/>
            <w:tcBorders>
              <w:top w:val="nil" w:color="FFFFFF" w:sz="0"/>
              <w:left w:val="thick" w:color="2563A8" w:sz="14"/>
              <w:bottom w:val="single" w:color="2563A8" w:sz="8"/>
              <w:right w:val="nil" w:color="FFFFFF" w:sz="0"/>
            </w:tcBorders>
            <w:shd w:fill="E8F0FB" w:val="clear"/>
            <w:tcMar>
              <w:top w:type="dxa" w:w="80"/>
              <w:left w:type="dxa" w:w="200"/>
              <w:bottom w:type="dxa" w:w="80"/>
              <w:right w:type="dxa" w:w="160"/>
            </w:tcMar>
          </w:tcPr>
          <w:p>
            <w:pPr>
              <w:spacing w:before="40" w:after="40"/>
              <w:jc w:val="both"/>
            </w:pPr>
            <w:r>
              <w:rPr>
                <w:rFonts w:ascii="Arial" w:cs="Arial" w:eastAsia="Arial" w:hAnsi="Arial"/>
                <w:b/>
                <w:bCs/>
                <w:color w:val="2563A8"/>
                <w:sz w:val="20"/>
                <w:szCs w:val="20"/>
              </w:rPr>
              <w:t xml:space="preserve">Recommendation: </w:t>
            </w:r>
            <w:r>
              <w:rPr>
                <w:rFonts w:ascii="Arial" w:cs="Arial" w:eastAsia="Arial" w:hAnsi="Arial"/>
                <w:i/>
                <w:iCs/>
                <w:sz w:val="20"/>
                <w:szCs w:val="20"/>
              </w:rPr>
              <w:t xml:space="preserve">Zoning regulations for industrial wards should mandate minimum 15% green cover buffers. Immediate cool-roof pilots in the five hottest wards could provide measurable near-term relief during the pre-monsoon season.</w:t>
            </w:r>
          </w:p>
        </w:tc>
      </w:tr>
    </w:tbl>
    <w:p>
      <w:pPr>
        <w:spacing w:before="0" w:after="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A8" w:sz="10"/>
              <w:left w:val="thick" w:color="2563A8" w:sz="14"/>
              <w:bottom w:val="nil" w:color="FFFFFF" w:sz="0"/>
              <w:right w:val="nil" w:color="FFFFFF" w:sz="0"/>
            </w:tcBorders>
            <w:shd w:fill="EFF4FB" w:val="clear"/>
            <w:tcMar>
              <w:top w:type="dxa" w:w="80"/>
              <w:left w:type="dxa" w:w="200"/>
              <w:bottom w:type="dxa" w:w="80"/>
              <w:right w:type="dxa" w:w="160"/>
            </w:tcMar>
          </w:tcPr>
          <w:p>
            <w:pPr>
              <w:spacing w:before="40" w:after="40"/>
              <w:jc w:val="both"/>
            </w:pPr>
            <w:r>
              <w:rPr>
                <w:rFonts w:ascii="Arial" w:cs="Arial" w:eastAsia="Arial" w:hAnsi="Arial"/>
                <w:b/>
                <w:bCs/>
                <w:color w:val="1E3A5F"/>
                <w:sz w:val="20"/>
                <w:szCs w:val="20"/>
              </w:rPr>
              <w:t xml:space="preserve">Finding 3: </w:t>
            </w:r>
            <w:r>
              <w:rPr>
                <w:rFonts w:ascii="Arial" w:cs="Arial" w:eastAsia="Arial" w:hAnsi="Arial"/>
                <w:b/>
                <w:bCs/>
                <w:color w:val="2563A8"/>
                <w:sz w:val="20"/>
                <w:szCs w:val="20"/>
              </w:rPr>
              <w:t xml:space="preserve">Delhi is warming at +0.25°C per year in peak season</w:t>
            </w:r>
          </w:p>
        </w:tc>
      </w:tr>
      <w:tr>
        <w:tc>
          <w:tcPr>
            <w:tcW w:type="dxa" w:w="9720"/>
            <w:tcBorders>
              <w:top w:val="nil" w:color="FFFFFF" w:sz="0"/>
              <w:left w:val="thick" w:color="2563A8" w:sz="14"/>
              <w:bottom w:val="nil" w:color="FFFFFF" w:sz="0"/>
              <w:right w:val="nil" w:color="FFFFFF" w:sz="0"/>
            </w:tcBorders>
            <w:shd w:fill="FAFBFE" w:val="clear"/>
            <w:tcMar>
              <w:top w:type="dxa" w:w="80"/>
              <w:left w:type="dxa" w:w="200"/>
              <w:bottom w:type="dxa" w:w="80"/>
              <w:right w:type="dxa" w:w="160"/>
            </w:tcMar>
          </w:tcPr>
          <w:p>
            <w:pPr>
              <w:spacing w:before="40" w:after="40"/>
              <w:jc w:val="both"/>
            </w:pPr>
            <w:r>
              <w:rPr>
                <w:rFonts w:ascii="Arial" w:cs="Arial" w:eastAsia="Arial" w:hAnsi="Arial"/>
                <w:sz w:val="20"/>
                <w:szCs w:val="20"/>
              </w:rPr>
              <w:t xml:space="preserve">Year-over-year trend analysis of May LST shows a statistically significant warming of +0.25°C per year (r = 0.89) over 2019–2023, corresponding to +1.0°C total warming in five years. This rate exceeds the global average urban warming rate (~0.1°C/yr) by a factor of 2.5, consistent with Delhi's rapid urban expansion. Without intervention, May mean ward LST is projected to exceed 47°C on average by 2033.</w:t>
            </w:r>
          </w:p>
        </w:tc>
      </w:tr>
      <w:tr>
        <w:tc>
          <w:tcPr>
            <w:tcW w:type="dxa" w:w="9720"/>
            <w:tcBorders>
              <w:top w:val="nil" w:color="FFFFFF" w:sz="0"/>
              <w:left w:val="thick" w:color="2563A8" w:sz="14"/>
              <w:bottom w:val="single" w:color="2563A8" w:sz="8"/>
              <w:right w:val="nil" w:color="FFFFFF" w:sz="0"/>
            </w:tcBorders>
            <w:shd w:fill="E8F0FB" w:val="clear"/>
            <w:tcMar>
              <w:top w:type="dxa" w:w="80"/>
              <w:left w:type="dxa" w:w="200"/>
              <w:bottom w:type="dxa" w:w="80"/>
              <w:right w:type="dxa" w:w="160"/>
            </w:tcMar>
          </w:tcPr>
          <w:p>
            <w:pPr>
              <w:spacing w:before="40" w:after="40"/>
              <w:jc w:val="both"/>
            </w:pPr>
            <w:r>
              <w:rPr>
                <w:rFonts w:ascii="Arial" w:cs="Arial" w:eastAsia="Arial" w:hAnsi="Arial"/>
                <w:b/>
                <w:bCs/>
                <w:color w:val="2563A8"/>
                <w:sz w:val="20"/>
                <w:szCs w:val="20"/>
              </w:rPr>
              <w:t xml:space="preserve">Recommendation: </w:t>
            </w:r>
            <w:r>
              <w:rPr>
                <w:rFonts w:ascii="Arial" w:cs="Arial" w:eastAsia="Arial" w:hAnsi="Arial"/>
                <w:i/>
                <w:iCs/>
                <w:sz w:val="20"/>
                <w:szCs w:val="20"/>
              </w:rPr>
              <w:t xml:space="preserve">The warming trajectory underscores the urgency of embedding heat risk into Delhi's Urban Master Plan revision. Annual monitoring using this satellite pipeline should be institutionalised as a policy accountability tool.</w:t>
            </w:r>
          </w:p>
        </w:tc>
      </w:tr>
    </w:tbl>
    <w:p>
      <w:pPr>
        <w:spacing w:before="0" w:after="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A8" w:sz="10"/>
              <w:left w:val="thick" w:color="2563A8" w:sz="14"/>
              <w:bottom w:val="nil" w:color="FFFFFF" w:sz="0"/>
              <w:right w:val="nil" w:color="FFFFFF" w:sz="0"/>
            </w:tcBorders>
            <w:shd w:fill="EFF4FB" w:val="clear"/>
            <w:tcMar>
              <w:top w:type="dxa" w:w="80"/>
              <w:left w:type="dxa" w:w="200"/>
              <w:bottom w:type="dxa" w:w="80"/>
              <w:right w:type="dxa" w:w="160"/>
            </w:tcMar>
          </w:tcPr>
          <w:p>
            <w:pPr>
              <w:spacing w:before="40" w:after="40"/>
              <w:jc w:val="both"/>
            </w:pPr>
            <w:r>
              <w:rPr>
                <w:rFonts w:ascii="Arial" w:cs="Arial" w:eastAsia="Arial" w:hAnsi="Arial"/>
                <w:b/>
                <w:bCs/>
                <w:color w:val="1E3A5F"/>
                <w:sz w:val="20"/>
                <w:szCs w:val="20"/>
              </w:rPr>
              <w:t xml:space="preserve">Finding 4: </w:t>
            </w:r>
            <w:r>
              <w:rPr>
                <w:rFonts w:ascii="Arial" w:cs="Arial" w:eastAsia="Arial" w:hAnsi="Arial"/>
                <w:b/>
                <w:bCs/>
                <w:color w:val="2563A8"/>
                <w:sz w:val="20"/>
                <w:szCs w:val="20"/>
              </w:rPr>
              <w:t xml:space="preserve">COVID lockdown reveals 1.8°C anthropogenic heat contribution</w:t>
            </w:r>
          </w:p>
        </w:tc>
      </w:tr>
      <w:tr>
        <w:tc>
          <w:tcPr>
            <w:tcW w:type="dxa" w:w="9720"/>
            <w:tcBorders>
              <w:top w:val="nil" w:color="FFFFFF" w:sz="0"/>
              <w:left w:val="thick" w:color="2563A8" w:sz="14"/>
              <w:bottom w:val="nil" w:color="FFFFFF" w:sz="0"/>
              <w:right w:val="nil" w:color="FFFFFF" w:sz="0"/>
            </w:tcBorders>
            <w:shd w:fill="FAFBFE" w:val="clear"/>
            <w:tcMar>
              <w:top w:type="dxa" w:w="80"/>
              <w:left w:type="dxa" w:w="200"/>
              <w:bottom w:type="dxa" w:w="80"/>
              <w:right w:type="dxa" w:w="160"/>
            </w:tcMar>
          </w:tcPr>
          <w:p>
            <w:pPr>
              <w:spacing w:before="40" w:after="40"/>
              <w:jc w:val="both"/>
            </w:pPr>
            <w:r>
              <w:rPr>
                <w:rFonts w:ascii="Arial" w:cs="Arial" w:eastAsia="Arial" w:hAnsi="Arial"/>
                <w:sz w:val="20"/>
                <w:szCs w:val="20"/>
              </w:rPr>
              <w:t xml:space="preserve">The 2020 lockdown (April–June 2020) produced a mean LST anomaly of −1.8°C below trend. Since the built environment was unchanged, this anomaly is entirely attributable to reduced traffic and industrial activity. This natural experiment quantifies the anthropogenic heat flux contribution at ~1.8°C — a fraction of UHI that is immediately addressable through policy, independently of long-term infrastructure changes.</w:t>
            </w:r>
          </w:p>
        </w:tc>
      </w:tr>
      <w:tr>
        <w:tc>
          <w:tcPr>
            <w:tcW w:type="dxa" w:w="9720"/>
            <w:tcBorders>
              <w:top w:val="nil" w:color="FFFFFF" w:sz="0"/>
              <w:left w:val="thick" w:color="2563A8" w:sz="14"/>
              <w:bottom w:val="single" w:color="2563A8" w:sz="8"/>
              <w:right w:val="nil" w:color="FFFFFF" w:sz="0"/>
            </w:tcBorders>
            <w:shd w:fill="E8F0FB" w:val="clear"/>
            <w:tcMar>
              <w:top w:type="dxa" w:w="80"/>
              <w:left w:type="dxa" w:w="200"/>
              <w:bottom w:type="dxa" w:w="80"/>
              <w:right w:type="dxa" w:w="160"/>
            </w:tcMar>
          </w:tcPr>
          <w:p>
            <w:pPr>
              <w:spacing w:before="40" w:after="40"/>
              <w:jc w:val="both"/>
            </w:pPr>
            <w:r>
              <w:rPr>
                <w:rFonts w:ascii="Arial" w:cs="Arial" w:eastAsia="Arial" w:hAnsi="Arial"/>
                <w:b/>
                <w:bCs/>
                <w:color w:val="2563A8"/>
                <w:sz w:val="20"/>
                <w:szCs w:val="20"/>
              </w:rPr>
              <w:t xml:space="preserve">Recommendation: </w:t>
            </w:r>
            <w:r>
              <w:rPr>
                <w:rFonts w:ascii="Arial" w:cs="Arial" w:eastAsia="Arial" w:hAnsi="Arial"/>
                <w:i/>
                <w:iCs/>
                <w:sz w:val="20"/>
                <w:szCs w:val="20"/>
              </w:rPr>
              <w:t xml:space="preserve">Transport electrification and industrial energy-efficiency programmes should use this 1.8°C figure as a quantified climate co-benefit in cost-benefit analyses for urban policy interventions.</w:t>
            </w:r>
          </w:p>
        </w:tc>
      </w:tr>
    </w:tbl>
    <w:p>
      <w:pPr>
        <w:spacing w:before="0" w:after="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2563A8" w:sz="10"/>
              <w:left w:val="thick" w:color="2563A8" w:sz="14"/>
              <w:bottom w:val="nil" w:color="FFFFFF" w:sz="0"/>
              <w:right w:val="nil" w:color="FFFFFF" w:sz="0"/>
            </w:tcBorders>
            <w:shd w:fill="EFF4FB" w:val="clear"/>
            <w:tcMar>
              <w:top w:type="dxa" w:w="80"/>
              <w:left w:type="dxa" w:w="200"/>
              <w:bottom w:type="dxa" w:w="80"/>
              <w:right w:type="dxa" w:w="160"/>
            </w:tcMar>
          </w:tcPr>
          <w:p>
            <w:pPr>
              <w:spacing w:before="40" w:after="40"/>
              <w:jc w:val="both"/>
            </w:pPr>
            <w:r>
              <w:rPr>
                <w:rFonts w:ascii="Arial" w:cs="Arial" w:eastAsia="Arial" w:hAnsi="Arial"/>
                <w:b/>
                <w:bCs/>
                <w:color w:val="1E3A5F"/>
                <w:sz w:val="20"/>
                <w:szCs w:val="20"/>
              </w:rPr>
              <w:t xml:space="preserve">Finding 5: </w:t>
            </w:r>
            <w:r>
              <w:rPr>
                <w:rFonts w:ascii="Arial" w:cs="Arial" w:eastAsia="Arial" w:hAnsi="Arial"/>
                <w:b/>
                <w:bCs/>
                <w:color w:val="2563A8"/>
                <w:sz w:val="20"/>
                <w:szCs w:val="20"/>
              </w:rPr>
              <w:t xml:space="preserve">Dense wards bear 2.6× greater heat burden  (SDG 10)</w:t>
            </w:r>
          </w:p>
        </w:tc>
      </w:tr>
      <w:tr>
        <w:tc>
          <w:tcPr>
            <w:tcW w:type="dxa" w:w="9720"/>
            <w:tcBorders>
              <w:top w:val="nil" w:color="FFFFFF" w:sz="0"/>
              <w:left w:val="thick" w:color="2563A8" w:sz="14"/>
              <w:bottom w:val="nil" w:color="FFFFFF" w:sz="0"/>
              <w:right w:val="nil" w:color="FFFFFF" w:sz="0"/>
            </w:tcBorders>
            <w:shd w:fill="FAFBFE" w:val="clear"/>
            <w:tcMar>
              <w:top w:type="dxa" w:w="80"/>
              <w:left w:type="dxa" w:w="200"/>
              <w:bottom w:type="dxa" w:w="80"/>
              <w:right w:type="dxa" w:w="160"/>
            </w:tcMar>
          </w:tcPr>
          <w:p>
            <w:pPr>
              <w:spacing w:before="40" w:after="40"/>
              <w:jc w:val="both"/>
            </w:pPr>
            <w:r>
              <w:rPr>
                <w:rFonts w:ascii="Arial" w:cs="Arial" w:eastAsia="Arial" w:hAnsi="Arial"/>
                <w:sz w:val="20"/>
                <w:szCs w:val="20"/>
              </w:rPr>
              <w:t xml:space="preserve">The highest population-density quintile (&gt;25,000 persons/km²) shows mean UHI intensity of +3.1°C versus +1.2°C for the lowest quintile — a 2.6× disparity. In Delhi's urban geography, the densest wards are predominantly lower-income settlements. Approximately 4.2 million people in the study area live in Red-zone wards (UHI &gt; 3°C). This confirms UHI is not merely a technical problem but a climate justice issue.</w:t>
            </w:r>
          </w:p>
        </w:tc>
      </w:tr>
      <w:tr>
        <w:tc>
          <w:tcPr>
            <w:tcW w:type="dxa" w:w="9720"/>
            <w:tcBorders>
              <w:top w:val="nil" w:color="FFFFFF" w:sz="0"/>
              <w:left w:val="thick" w:color="2563A8" w:sz="14"/>
              <w:bottom w:val="single" w:color="2563A8" w:sz="8"/>
              <w:right w:val="nil" w:color="FFFFFF" w:sz="0"/>
            </w:tcBorders>
            <w:shd w:fill="E8F0FB" w:val="clear"/>
            <w:tcMar>
              <w:top w:type="dxa" w:w="80"/>
              <w:left w:type="dxa" w:w="200"/>
              <w:bottom w:type="dxa" w:w="80"/>
              <w:right w:type="dxa" w:w="160"/>
            </w:tcMar>
          </w:tcPr>
          <w:p>
            <w:pPr>
              <w:spacing w:before="40" w:after="40"/>
              <w:jc w:val="both"/>
            </w:pPr>
            <w:r>
              <w:rPr>
                <w:rFonts w:ascii="Arial" w:cs="Arial" w:eastAsia="Arial" w:hAnsi="Arial"/>
                <w:b/>
                <w:bCs/>
                <w:color w:val="2563A8"/>
                <w:sz w:val="20"/>
                <w:szCs w:val="20"/>
              </w:rPr>
              <w:t xml:space="preserve">Recommendation: </w:t>
            </w:r>
            <w:r>
              <w:rPr>
                <w:rFonts w:ascii="Arial" w:cs="Arial" w:eastAsia="Arial" w:hAnsi="Arial"/>
                <w:i/>
                <w:iCs/>
                <w:sz w:val="20"/>
                <w:szCs w:val="20"/>
              </w:rPr>
              <w:t xml:space="preserve">Heat action plans must differentiate ward prioritisation by socioeconomic vulnerability, not thermal intensity alone. Community cooling centres, subsidised reflective roofing, and ward-level NDVI targets should be concentrated in the intersection of high-heat and high-density wards.</w:t>
            </w:r>
          </w:p>
        </w:tc>
      </w:tr>
    </w:tbl>
    <w:p>
      <w:pPr>
        <w:pageBreakBefore/>
      </w:pPr>
      <w:r>
        <w:rPr>
          <w:rFonts w:ascii="Arial" w:cs="Arial" w:eastAsia="Arial" w:hAnsi="Arial"/>
          <w:sz w:val="20"/>
          <w:szCs w:val="20"/>
        </w:rPr>
        <w:t xml:space="preserve"/>
      </w:r>
    </w:p>
    <w:p>
      <w:pPr>
        <w:pStyle w:val="Heading1"/>
        <w:pBdr>
          <w:bottom w:val="single" w:color="2563A8" w:sz="8" w:space="6"/>
        </w:pBdr>
        <w:spacing w:before="400" w:after="160"/>
      </w:pPr>
      <w:r>
        <w:rPr>
          <w:rFonts w:ascii="Arial" w:cs="Arial" w:eastAsia="Arial" w:hAnsi="Arial"/>
          <w:b/>
          <w:bCs/>
          <w:color w:val="1E3A5F"/>
          <w:sz w:val="32"/>
          <w:szCs w:val="32"/>
        </w:rPr>
        <w:t xml:space="preserve">8.  Limitations &amp; Next Steps</w:t>
      </w:r>
    </w:p>
    <w:p>
      <w:pPr>
        <w:pStyle w:val="Heading2"/>
        <w:spacing w:before="280" w:after="100"/>
      </w:pPr>
      <w:r>
        <w:rPr>
          <w:rFonts w:ascii="Arial" w:cs="Arial" w:eastAsia="Arial" w:hAnsi="Arial"/>
          <w:b/>
          <w:bCs/>
          <w:color w:val="2563A8"/>
          <w:sz w:val="26"/>
          <w:szCs w:val="26"/>
        </w:rPr>
        <w:t xml:space="preserve">8.1  Known Limitations</w:t>
      </w:r>
    </w:p>
    <w:p>
      <w:pPr>
        <w:pStyle w:val="ListParagraph"/>
        <w:numPr>
          <w:ilvl w:val="0"/>
          <w:numId w:val="3"/>
        </w:numPr>
        <w:spacing w:before="60" w:after="60"/>
      </w:pPr>
      <w:r>
        <w:rPr>
          <w:rFonts w:ascii="Arial" w:cs="Arial" w:eastAsia="Arial" w:hAnsi="Arial"/>
          <w:b/>
          <w:bCs/>
          <w:sz w:val="20"/>
          <w:szCs w:val="20"/>
        </w:rPr>
        <w:t xml:space="preserve">Spatial resolution: </w:t>
      </w:r>
      <w:r>
        <w:rPr>
          <w:rFonts w:ascii="Arial" w:cs="Arial" w:eastAsia="Arial" w:hAnsi="Arial"/>
          <w:sz w:val="20"/>
          <w:szCs w:val="20"/>
        </w:rPr>
        <w:t xml:space="preserve">MODIS LST at 1 km cannot resolve intra-ward heterogeneity. Micro-hotspots such as rooftops, parking lots, and small industrial zones may be averaged out. Landsat-8 thermal (100 m) or ECOSTRESS (70 m) would provide finer-grained analysis in future work.</w:t>
      </w:r>
    </w:p>
    <w:p>
      <w:pPr>
        <w:pStyle w:val="ListParagraph"/>
        <w:numPr>
          <w:ilvl w:val="0"/>
          <w:numId w:val="3"/>
        </w:numPr>
        <w:spacing w:before="60" w:after="60"/>
      </w:pPr>
      <w:r>
        <w:rPr>
          <w:rFonts w:ascii="Arial" w:cs="Arial" w:eastAsia="Arial" w:hAnsi="Arial"/>
          <w:b/>
          <w:bCs/>
          <w:sz w:val="20"/>
          <w:szCs w:val="20"/>
        </w:rPr>
        <w:t xml:space="preserve">Population data vintage: </w:t>
      </w:r>
      <w:r>
        <w:rPr>
          <w:rFonts w:ascii="Arial" w:cs="Arial" w:eastAsia="Arial" w:hAnsi="Arial"/>
          <w:sz w:val="20"/>
          <w:szCs w:val="20"/>
        </w:rPr>
        <w:t xml:space="preserve">Census 2011 is now 14 years old. Delhi's population distribution has changed significantly since then, and the heat burden estimates for specific wards carry corresponding uncertainty.</w:t>
      </w:r>
    </w:p>
    <w:p>
      <w:pPr>
        <w:pStyle w:val="ListParagraph"/>
        <w:numPr>
          <w:ilvl w:val="0"/>
          <w:numId w:val="3"/>
        </w:numPr>
        <w:spacing w:before="60" w:after="60"/>
      </w:pPr>
      <w:r>
        <w:rPr>
          <w:rFonts w:ascii="Arial" w:cs="Arial" w:eastAsia="Arial" w:hAnsi="Arial"/>
          <w:b/>
          <w:bCs/>
          <w:sz w:val="20"/>
          <w:szCs w:val="20"/>
        </w:rPr>
        <w:t xml:space="preserve">Static LULC: </w:t>
      </w:r>
      <w:r>
        <w:rPr>
          <w:rFonts w:ascii="Arial" w:cs="Arial" w:eastAsia="Arial" w:hAnsi="Arial"/>
          <w:sz w:val="20"/>
          <w:szCs w:val="20"/>
        </w:rPr>
        <w:t xml:space="preserve">ESA WorldCover 2021 is used as a single static land cover layer across 2019–2023. Rapid commercial development during this period is not captured. Dynamic World (annual 10 m) should be integrated in the model phase.</w:t>
      </w:r>
    </w:p>
    <w:p>
      <w:pPr>
        <w:pStyle w:val="ListParagraph"/>
        <w:numPr>
          <w:ilvl w:val="0"/>
          <w:numId w:val="3"/>
        </w:numPr>
        <w:spacing w:before="60" w:after="60"/>
      </w:pPr>
      <w:r>
        <w:rPr>
          <w:rFonts w:ascii="Arial" w:cs="Arial" w:eastAsia="Arial" w:hAnsi="Arial"/>
          <w:b/>
          <w:bCs/>
          <w:sz w:val="20"/>
          <w:szCs w:val="20"/>
        </w:rPr>
        <w:t xml:space="preserve">No direct anthropogenic heat flux: </w:t>
      </w:r>
      <w:r>
        <w:rPr>
          <w:rFonts w:ascii="Arial" w:cs="Arial" w:eastAsia="Arial" w:hAnsi="Arial"/>
          <w:sz w:val="20"/>
          <w:szCs w:val="20"/>
        </w:rPr>
        <w:t xml:space="preserve">Traffic density, industry activity levels, and AC waste heat are not directly measured. The COVID anomaly provides only a proxy estimate of this component.</w:t>
      </w:r>
    </w:p>
    <w:p>
      <w:pPr>
        <w:pStyle w:val="ListParagraph"/>
        <w:numPr>
          <w:ilvl w:val="0"/>
          <w:numId w:val="3"/>
        </w:numPr>
        <w:spacing w:before="60" w:after="60"/>
      </w:pPr>
      <w:r>
        <w:rPr>
          <w:rFonts w:ascii="Arial" w:cs="Arial" w:eastAsia="Arial" w:hAnsi="Arial"/>
          <w:b/>
          <w:bCs/>
          <w:sz w:val="20"/>
          <w:szCs w:val="20"/>
        </w:rPr>
        <w:t xml:space="preserve">Validation coverage: </w:t>
      </w:r>
      <w:r>
        <w:rPr>
          <w:rFonts w:ascii="Arial" w:cs="Arial" w:eastAsia="Arial" w:hAnsi="Arial"/>
          <w:sz w:val="20"/>
          <w:szCs w:val="20"/>
        </w:rPr>
        <w:t xml:space="preserve">Ground-truth validation against IMD meteorological stations is limited by the sparse station network in Delhi (approximately 8 stations within the study area). IoT sensor networks would substantially improve validation in future phases.</w:t>
      </w:r>
    </w:p>
    <w:p>
      <w:pPr>
        <w:pStyle w:val="Heading2"/>
        <w:spacing w:before="280" w:after="100"/>
      </w:pPr>
      <w:r>
        <w:rPr>
          <w:rFonts w:ascii="Arial" w:cs="Arial" w:eastAsia="Arial" w:hAnsi="Arial"/>
          <w:b/>
          <w:bCs/>
          <w:color w:val="2563A8"/>
          <w:sz w:val="26"/>
          <w:szCs w:val="26"/>
        </w:rPr>
        <w:t xml:space="preserve">8.2  Next Steps — Modelling &amp; Product</w:t>
      </w:r>
    </w:p>
    <w:p>
      <w:pPr>
        <w:pStyle w:val="ListParagraph"/>
        <w:numPr>
          <w:ilvl w:val="0"/>
          <w:numId w:val="3"/>
        </w:numPr>
        <w:spacing w:before="60" w:after="60"/>
      </w:pPr>
      <w:r>
        <w:rPr>
          <w:rFonts w:ascii="Arial" w:cs="Arial" w:eastAsia="Arial" w:hAnsi="Arial"/>
          <w:b/>
          <w:bCs/>
          <w:sz w:val="20"/>
          <w:szCs w:val="20"/>
        </w:rPr>
        <w:t xml:space="preserve">Predictive model: </w:t>
      </w:r>
      <w:r>
        <w:rPr>
          <w:rFonts w:ascii="Arial" w:cs="Arial" w:eastAsia="Arial" w:hAnsi="Arial"/>
          <w:sz w:val="20"/>
          <w:szCs w:val="20"/>
        </w:rPr>
        <w:t xml:space="preserve">Train a Random Forest Regressor on EDA outputs to predict UHI intensity from NDVI, built-up %, and population density. Target: R² &gt; 0.70 on held-out test wards.</w:t>
      </w:r>
    </w:p>
    <w:p>
      <w:pPr>
        <w:pStyle w:val="ListParagraph"/>
        <w:numPr>
          <w:ilvl w:val="0"/>
          <w:numId w:val="3"/>
        </w:numPr>
        <w:spacing w:before="60" w:after="60"/>
      </w:pPr>
      <w:r>
        <w:rPr>
          <w:rFonts w:ascii="Arial" w:cs="Arial" w:eastAsia="Arial" w:hAnsi="Arial"/>
          <w:b/>
          <w:bCs/>
          <w:sz w:val="20"/>
          <w:szCs w:val="20"/>
        </w:rPr>
        <w:t xml:space="preserve">Heat Risk Index: </w:t>
      </w:r>
      <w:r>
        <w:rPr>
          <w:rFonts w:ascii="Arial" w:cs="Arial" w:eastAsia="Arial" w:hAnsi="Arial"/>
          <w:sz w:val="20"/>
          <w:szCs w:val="20"/>
        </w:rPr>
        <w:t xml:space="preserve">Formalise the composite ward-level Heat Risk Score and deploy as a public-facing Streamlit dashboard with interactive ward selector and scenario simulator.</w:t>
      </w:r>
    </w:p>
    <w:p>
      <w:pPr>
        <w:pStyle w:val="ListParagraph"/>
        <w:numPr>
          <w:ilvl w:val="0"/>
          <w:numId w:val="3"/>
        </w:numPr>
        <w:spacing w:before="60" w:after="60"/>
      </w:pPr>
      <w:r>
        <w:rPr>
          <w:rFonts w:ascii="Arial" w:cs="Arial" w:eastAsia="Arial" w:hAnsi="Arial"/>
          <w:b/>
          <w:bCs/>
          <w:sz w:val="20"/>
          <w:szCs w:val="20"/>
        </w:rPr>
        <w:t xml:space="preserve">Scenario simulation: </w:t>
      </w:r>
      <w:r>
        <w:rPr>
          <w:rFonts w:ascii="Arial" w:cs="Arial" w:eastAsia="Arial" w:hAnsi="Arial"/>
          <w:sz w:val="20"/>
          <w:szCs w:val="20"/>
        </w:rPr>
        <w:t xml:space="preserve">Implement "what if NDVI increases by X in ward Y?" tool using the fitted regression model, quantifying temperature reduction per tree-planting intervention scenario.</w:t>
      </w:r>
    </w:p>
    <w:p>
      <w:pPr>
        <w:pStyle w:val="ListParagraph"/>
        <w:numPr>
          <w:ilvl w:val="0"/>
          <w:numId w:val="3"/>
        </w:numPr>
        <w:spacing w:before="60" w:after="60"/>
      </w:pPr>
      <w:r>
        <w:rPr>
          <w:rFonts w:ascii="Arial" w:cs="Arial" w:eastAsia="Arial" w:hAnsi="Arial"/>
          <w:b/>
          <w:bCs/>
          <w:sz w:val="20"/>
          <w:szCs w:val="20"/>
        </w:rPr>
        <w:t xml:space="preserve">Multi-city expansion: </w:t>
      </w:r>
      <w:r>
        <w:rPr>
          <w:rFonts w:ascii="Arial" w:cs="Arial" w:eastAsia="Arial" w:hAnsi="Arial"/>
          <w:sz w:val="20"/>
          <w:szCs w:val="20"/>
        </w:rPr>
        <w:t xml:space="preserve">Replicate the pipeline for Mumbai, Bengaluru, Chennai, and Hyderabad to produce a comparative five-city UHI index — the core product of the startup.</w:t>
      </w:r>
    </w:p>
    <w:p>
      <w:pPr>
        <w:pStyle w:val="ListParagraph"/>
        <w:numPr>
          <w:ilvl w:val="0"/>
          <w:numId w:val="3"/>
        </w:numPr>
        <w:spacing w:before="60" w:after="60"/>
      </w:pPr>
      <w:r>
        <w:rPr>
          <w:rFonts w:ascii="Arial" w:cs="Arial" w:eastAsia="Arial" w:hAnsi="Arial"/>
          <w:b/>
          <w:bCs/>
          <w:sz w:val="20"/>
          <w:szCs w:val="20"/>
        </w:rPr>
        <w:t xml:space="preserve">Annual monitoring: </w:t>
      </w:r>
      <w:r>
        <w:rPr>
          <w:rFonts w:ascii="Arial" w:cs="Arial" w:eastAsia="Arial" w:hAnsi="Arial"/>
          <w:sz w:val="20"/>
          <w:szCs w:val="20"/>
        </w:rPr>
        <w:t xml:space="preserve">Automate the GEE data pipeline for annual report generation, enabling policy accountability tracking over time.</w:t>
      </w:r>
    </w:p>
    <w:p>
      <w:pPr>
        <w:pageBreakBefore/>
      </w:pPr>
      <w:r>
        <w:rPr>
          <w:rFonts w:ascii="Arial" w:cs="Arial" w:eastAsia="Arial" w:hAnsi="Arial"/>
          <w:sz w:val="20"/>
          <w:szCs w:val="20"/>
        </w:rPr>
        <w:t xml:space="preserve"/>
      </w:r>
    </w:p>
    <w:p>
      <w:pPr>
        <w:pStyle w:val="Heading1"/>
        <w:pBdr>
          <w:bottom w:val="single" w:color="2563A8" w:sz="8" w:space="6"/>
        </w:pBdr>
        <w:spacing w:before="400" w:after="160"/>
      </w:pPr>
      <w:r>
        <w:rPr>
          <w:rFonts w:ascii="Arial" w:cs="Arial" w:eastAsia="Arial" w:hAnsi="Arial"/>
          <w:b/>
          <w:bCs/>
          <w:color w:val="1E3A5F"/>
          <w:sz w:val="32"/>
          <w:szCs w:val="32"/>
        </w:rPr>
        <w:t xml:space="preserve">9.  References &amp; Data Sources</w:t>
      </w:r>
    </w:p>
    <w:p>
      <w:pPr>
        <w:pStyle w:val="ListParagraph"/>
        <w:numPr>
          <w:ilvl w:val="0"/>
          <w:numId w:val="3"/>
        </w:numPr>
        <w:spacing w:before="60" w:after="60"/>
      </w:pPr>
      <w:r>
        <w:rPr>
          <w:rFonts w:ascii="Arial" w:cs="Arial" w:eastAsia="Arial" w:hAnsi="Arial"/>
          <w:sz w:val="20"/>
          <w:szCs w:val="20"/>
        </w:rPr>
        <w:t xml:space="preserve">Wan, Z. (2021). MOD11A1 MODIS/Terra Land Surface Temperature/Emissivity Daily L3 Global 1km SIN Grid V061. NASA EOSDIS Land Processes DAAC. https://doi.org/10.5067/MODIS/MOD11A1.061</w:t>
      </w:r>
    </w:p>
    <w:p>
      <w:pPr>
        <w:pStyle w:val="ListParagraph"/>
        <w:numPr>
          <w:ilvl w:val="0"/>
          <w:numId w:val="3"/>
        </w:numPr>
        <w:spacing w:before="60" w:after="60"/>
      </w:pPr>
      <w:r>
        <w:rPr>
          <w:rFonts w:ascii="Arial" w:cs="Arial" w:eastAsia="Arial" w:hAnsi="Arial"/>
          <w:sz w:val="20"/>
          <w:szCs w:val="20"/>
        </w:rPr>
        <w:t xml:space="preserve">ESA. (2021). WorldCover 10m 2021 v200. European Space Agency. https://worldcover2021.esa.int/</w:t>
      </w:r>
    </w:p>
    <w:p>
      <w:pPr>
        <w:pStyle w:val="ListParagraph"/>
        <w:numPr>
          <w:ilvl w:val="0"/>
          <w:numId w:val="3"/>
        </w:numPr>
        <w:spacing w:before="60" w:after="60"/>
      </w:pPr>
      <w:r>
        <w:rPr>
          <w:rFonts w:ascii="Arial" w:cs="Arial" w:eastAsia="Arial" w:hAnsi="Arial"/>
          <w:sz w:val="20"/>
          <w:szCs w:val="20"/>
        </w:rPr>
        <w:t xml:space="preserve">Arnfield, A. J. (2003). Two decades of urban climate research: a review of turbulence, exchanges of energy and water, and the urban heat island. International Journal of Climatology, 23(1), 1–26.</w:t>
      </w:r>
    </w:p>
    <w:p>
      <w:pPr>
        <w:pStyle w:val="ListParagraph"/>
        <w:numPr>
          <w:ilvl w:val="0"/>
          <w:numId w:val="3"/>
        </w:numPr>
        <w:spacing w:before="60" w:after="60"/>
      </w:pPr>
      <w:r>
        <w:rPr>
          <w:rFonts w:ascii="Arial" w:cs="Arial" w:eastAsia="Arial" w:hAnsi="Arial"/>
          <w:sz w:val="20"/>
          <w:szCs w:val="20"/>
        </w:rPr>
        <w:t xml:space="preserve">Census of India (2011). Primary Census Abstract. Office of the Registrar General &amp; Census Commissioner, India. https://censusindia.gov.in/</w:t>
      </w:r>
    </w:p>
    <w:p>
      <w:pPr>
        <w:pStyle w:val="ListParagraph"/>
        <w:numPr>
          <w:ilvl w:val="0"/>
          <w:numId w:val="3"/>
        </w:numPr>
        <w:spacing w:before="60" w:after="60"/>
      </w:pPr>
      <w:r>
        <w:rPr>
          <w:rFonts w:ascii="Arial" w:cs="Arial" w:eastAsia="Arial" w:hAnsi="Arial"/>
          <w:sz w:val="20"/>
          <w:szCs w:val="20"/>
        </w:rPr>
        <w:t xml:space="preserve">GADM (2023). Database of Global Administrative Areas, Version 4.1. https://www.gadm.org/</w:t>
      </w:r>
    </w:p>
    <w:p>
      <w:pPr>
        <w:pStyle w:val="ListParagraph"/>
        <w:numPr>
          <w:ilvl w:val="0"/>
          <w:numId w:val="3"/>
        </w:numPr>
        <w:spacing w:before="60" w:after="60"/>
      </w:pPr>
      <w:r>
        <w:rPr>
          <w:rFonts w:ascii="Arial" w:cs="Arial" w:eastAsia="Arial" w:hAnsi="Arial"/>
          <w:sz w:val="20"/>
          <w:szCs w:val="20"/>
        </w:rPr>
        <w:t xml:space="preserve">Gorelick, N. et al. (2017). Google Earth Engine: Planetary-scale geospatial analysis for everyone. Remote Sensing of Environment, 202, 18–27.</w:t>
      </w:r>
    </w:p>
    <w:p>
      <w:pPr>
        <w:pStyle w:val="ListParagraph"/>
        <w:numPr>
          <w:ilvl w:val="0"/>
          <w:numId w:val="3"/>
        </w:numPr>
        <w:spacing w:before="60" w:after="60"/>
      </w:pPr>
      <w:r>
        <w:rPr>
          <w:rFonts w:ascii="Arial" w:cs="Arial" w:eastAsia="Arial" w:hAnsi="Arial"/>
          <w:sz w:val="20"/>
          <w:szCs w:val="20"/>
        </w:rPr>
        <w:t xml:space="preserve">Voogt, J. A., &amp; Oke, T. R. (2003). Thermal remote sensing of urban climates. Remote Sensing of Environment, 86(3), 370–384.</w:t>
      </w:r>
    </w:p>
    <w:p>
      <w:pPr>
        <w:pStyle w:val="ListParagraph"/>
        <w:numPr>
          <w:ilvl w:val="0"/>
          <w:numId w:val="3"/>
        </w:numPr>
        <w:spacing w:before="60" w:after="60"/>
      </w:pPr>
      <w:r>
        <w:rPr>
          <w:rFonts w:ascii="Arial" w:cs="Arial" w:eastAsia="Arial" w:hAnsi="Arial"/>
          <w:sz w:val="20"/>
          <w:szCs w:val="20"/>
        </w:rPr>
        <w:t xml:space="preserve">Imhoff, M. L. et al. (2010). Remote sensing of the urban heat island effect across biomes in the continental USA. Remote Sensing of Environment, 114(3), 504–513.</w:t>
      </w:r>
    </w:p>
    <w:p>
      <w:pPr>
        <w:pStyle w:val="ListParagraph"/>
        <w:numPr>
          <w:ilvl w:val="0"/>
          <w:numId w:val="3"/>
        </w:numPr>
        <w:spacing w:before="60" w:after="60"/>
      </w:pPr>
      <w:r>
        <w:rPr>
          <w:rFonts w:ascii="Arial" w:cs="Arial" w:eastAsia="Arial" w:hAnsi="Arial"/>
          <w:sz w:val="20"/>
          <w:szCs w:val="20"/>
        </w:rPr>
        <w:t xml:space="preserve">Open Government Data Platform India (2024). data.gov.in — datasets: Population, Land Use, Climate. Government of India.</w:t>
      </w:r>
    </w:p>
    <w:p>
      <w:pPr>
        <w:pStyle w:val="ListParagraph"/>
        <w:numPr>
          <w:ilvl w:val="0"/>
          <w:numId w:val="3"/>
        </w:numPr>
        <w:spacing w:before="60" w:after="60"/>
      </w:pPr>
      <w:r>
        <w:rPr>
          <w:rFonts w:ascii="Arial" w:cs="Arial" w:eastAsia="Arial" w:hAnsi="Arial"/>
          <w:sz w:val="20"/>
          <w:szCs w:val="20"/>
        </w:rPr>
        <w:t xml:space="preserve">CPCB (2023). National Ambient Air Quality Monitoring Programme. Central Pollution Control Board, India.</w:t>
      </w:r>
    </w:p>
    <w:p>
      <w:pPr>
        <w:spacing w:before="0" w:after="0"/>
      </w:pPr>
      <w:r>
        <w:rPr>
          <w:rFonts w:ascii="Arial" w:cs="Arial" w:eastAsia="Arial" w:hAnsi="Arial"/>
          <w:sz w:val="20"/>
          <w:szCs w:val="20"/>
        </w:rPr>
        <w:t xml:space="preserve"/>
      </w:r>
    </w:p>
    <w:p>
      <w:pPr>
        <w:spacing w:before="0" w:after="0"/>
      </w:pPr>
      <w:r>
        <w:rPr>
          <w:rFonts w:ascii="Arial" w:cs="Arial" w:eastAsia="Arial" w:hAnsi="Arial"/>
          <w:sz w:val="20"/>
          <w:szCs w:val="20"/>
        </w:rPr>
        <w:t xml:space="preserve"/>
      </w:r>
    </w:p>
    <w:p>
      <w:pPr>
        <w:pBdr>
          <w:top w:val="single" w:color="2563A8" w:sz="6" w:space="10"/>
        </w:pBdr>
        <w:spacing w:before="140" w:after="60"/>
        <w:jc w:val="center"/>
      </w:pPr>
      <w:r>
        <w:rPr>
          <w:rFonts w:ascii="Arial" w:cs="Arial" w:eastAsia="Arial" w:hAnsi="Arial"/>
          <w:b/>
          <w:bCs/>
          <w:i/>
          <w:iCs/>
          <w:color w:val="555555"/>
          <w:sz w:val="20"/>
          <w:szCs w:val="20"/>
        </w:rPr>
        <w:t xml:space="preserve">— End of EDA Report —</w:t>
      </w:r>
    </w:p>
    <w:p>
      <w:pPr>
        <w:spacing w:before="40" w:after="0"/>
        <w:jc w:val="center"/>
      </w:pPr>
      <w:r>
        <w:rPr>
          <w:rFonts w:ascii="Arial" w:cs="Arial" w:eastAsia="Arial" w:hAnsi="Arial"/>
          <w:color w:val="888888"/>
          <w:sz w:val="18"/>
          <w:szCs w:val="18"/>
        </w:rPr>
        <w:t xml:space="preserve">Urban Heat Island Intensity Predictor  |  Data-Driven Startup Analysis  |  April 2025</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6" w:space="6"/>
      </w:pBdr>
      <w:tabs>
        <w:tab w:val="right" w:pos="9720"/>
      </w:tabs>
      <w:spacing w:before="80"/>
    </w:pPr>
    <w:r>
      <w:rPr>
        <w:rFonts w:ascii="Arial" w:cs="Arial" w:eastAsia="Arial" w:hAnsi="Arial"/>
        <w:color w:val="888888"/>
        <w:sz w:val="16"/>
        <w:szCs w:val="16"/>
      </w:rPr>
      <w:t xml:space="preserve">IIT Delhi  |  Climate Data Science  |  April 2025</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6"/>
      </w:pBdr>
      <w:tabs>
        <w:tab w:val="right" w:pos="9720"/>
      </w:tabs>
      <w:spacing w:after="80"/>
    </w:pPr>
    <w:r>
      <w:rPr>
        <w:rFonts w:ascii="Arial" w:cs="Arial" w:eastAsia="Arial" w:hAnsi="Arial"/>
        <w:color w:val="555555"/>
        <w:sz w:val="18"/>
        <w:szCs w:val="18"/>
      </w:rPr>
      <w:t xml:space="preserve">Urban Heat Island Intensity Predictor  |  EDA Report</w:t>
    </w:r>
    <w:r>
      <w:rPr>
        <w:rFonts w:ascii="Arial" w:cs="Arial" w:eastAsia="Arial" w:hAnsi="Arial"/>
        <w:sz w:val="18"/>
        <w:szCs w:val="18"/>
      </w:rPr>
      <w:t xml:space="preserve">	</w:t>
    </w:r>
    <w:r>
      <w:rPr>
        <w:rFonts w:ascii="Arial" w:cs="Arial" w:eastAsia="Arial" w:hAnsi="Arial"/>
        <w:color w:val="888888"/>
        <w:sz w:val="18"/>
        <w:szCs w:val="18"/>
      </w:rPr>
      <w:t xml:space="preserve">Delhi, India  2019–2023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D6B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65064b4558857369daa55b7a0a3d31e8552ffbd.png"/><Relationship Id="rId9" Type="http://schemas.openxmlformats.org/officeDocument/2006/relationships/image" Target="media/1e7819a20a97109140bdb7e9c661874c27d82410.png"/><Relationship Id="rId10" Type="http://schemas.openxmlformats.org/officeDocument/2006/relationships/image" Target="media/04561985e766f7e276f97807d887ba48462819c8.png"/><Relationship Id="rId11" Type="http://schemas.openxmlformats.org/officeDocument/2006/relationships/image" Target="media/b388a980954b429a153a95fb2c2c40ff75408b54.png"/><Relationship Id="rId12" Type="http://schemas.openxmlformats.org/officeDocument/2006/relationships/image" Target="media/6b8b6deb3b33dea8296e6834a9ce3285d2ca79c4.png"/><Relationship Id="rId13" Type="http://schemas.openxmlformats.org/officeDocument/2006/relationships/image" Target="media/e18b0815fe7826469af782038dfefb7171df23d4.png"/><Relationship Id="rId14" Type="http://schemas.openxmlformats.org/officeDocument/2006/relationships/image" Target="media/31f18c47c18f44860f06d06e0eac214af4050827.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2026-04-02T04:17:33.361Z</dcterms:created>
  <dcterms:modified xsi:type="dcterms:W3CDTF">2026-04-02T04:17:33.361Z</dcterms:modified>
</cp:coreProperties>
</file>

<file path=docProps/custom.xml><?xml version="1.0" encoding="utf-8"?>
<Properties xmlns="http://schemas.openxmlformats.org/officeDocument/2006/custom-properties" xmlns:vt="http://schemas.openxmlformats.org/officeDocument/2006/docPropsVTypes"/>
</file>