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FA" w:rsidRDefault="005270FA" w:rsidP="005270FA">
      <w:pPr>
        <w:pStyle w:val="NormalWeb"/>
      </w:pPr>
      <w:r>
        <w:t>Meeting Notes – Apex Q3 Review (Oct 15, 2025): Attendees: CFO Smith, Analyst Lee, Compliance Officer Patel. Discussions: Q3 revenue up 15% from inflows, but ops expenses spiked 20% due to vendor wires. Decisions: Approve $100K budget for new trading tools; Flag EUR/USD short for review. Actions: Lee to audit refunds by Oct 20; Patel to check SOX on fees. Risks Raised: Inflation at 5% impacting bonds</w:t>
      </w:r>
    </w:p>
    <w:p w:rsidR="0062023F" w:rsidRDefault="0062023F">
      <w:bookmarkStart w:id="0" w:name="_GoBack"/>
      <w:bookmarkEnd w:id="0"/>
    </w:p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FA"/>
    <w:rsid w:val="005270FA"/>
    <w:rsid w:val="0062023F"/>
    <w:rsid w:val="006E29E3"/>
    <w:rsid w:val="00F24741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2025-10-29T04:13:00Z</dcterms:created>
  <dcterms:modified xsi:type="dcterms:W3CDTF">2025-10-29T04:13:00Z</dcterms:modified>
</cp:coreProperties>
</file>