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602B" w14:textId="77777777" w:rsidR="000D568E" w:rsidRDefault="00000000" w:rsidP="006F3D07">
      <w:pPr>
        <w:pStyle w:val="Title"/>
        <w:ind w:left="0"/>
        <w:jc w:val="left"/>
      </w:pPr>
      <w:bookmarkStart w:id="0" w:name="Design_of_Mn(II)_e_Ni(II)-NHC_complexes_"/>
      <w:bookmarkEnd w:id="0"/>
      <w:r>
        <w:t>Design</w:t>
      </w:r>
      <w:r>
        <w:rPr>
          <w:spacing w:val="-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Mn(II)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Ni(II)-NHC</w:t>
      </w:r>
      <w:r>
        <w:rPr>
          <w:spacing w:val="-5"/>
        </w:rPr>
        <w:t xml:space="preserve"> </w:t>
      </w:r>
      <w:r>
        <w:t>complexes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photocatalysts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radical polymerization under visible light and 3D printing</w:t>
      </w:r>
    </w:p>
    <w:p w14:paraId="5137C665" w14:textId="551133CB" w:rsidR="000D568E" w:rsidRPr="006F3D07" w:rsidRDefault="006F3D07" w:rsidP="006F3D07">
      <w:pPr>
        <w:spacing w:before="1" w:line="360" w:lineRule="auto"/>
        <w:rPr>
          <w:iCs/>
          <w:sz w:val="24"/>
        </w:rPr>
      </w:pPr>
      <w:r>
        <w:rPr>
          <w:i/>
          <w:sz w:val="24"/>
        </w:rPr>
        <w:br/>
      </w:r>
      <w:r w:rsidRPr="006F3D07">
        <w:rPr>
          <w:b/>
          <w:bCs/>
          <w:iCs/>
          <w:sz w:val="24"/>
        </w:rPr>
        <w:t>B.</w:t>
      </w:r>
      <w:r w:rsidRPr="006F3D07">
        <w:rPr>
          <w:b/>
          <w:bCs/>
          <w:iCs/>
          <w:spacing w:val="-4"/>
          <w:sz w:val="24"/>
        </w:rPr>
        <w:t xml:space="preserve"> </w:t>
      </w:r>
      <w:r w:rsidRPr="006F3D07">
        <w:rPr>
          <w:b/>
          <w:bCs/>
          <w:iCs/>
          <w:sz w:val="24"/>
        </w:rPr>
        <w:t>E.</w:t>
      </w:r>
      <w:r w:rsidRPr="006F3D07">
        <w:rPr>
          <w:b/>
          <w:bCs/>
          <w:iCs/>
          <w:spacing w:val="-4"/>
          <w:sz w:val="24"/>
        </w:rPr>
        <w:t xml:space="preserve"> </w:t>
      </w:r>
      <w:r w:rsidRPr="006F3D07">
        <w:rPr>
          <w:b/>
          <w:bCs/>
          <w:iCs/>
          <w:sz w:val="24"/>
        </w:rPr>
        <w:t>Goi</w:t>
      </w:r>
      <w:r w:rsidRPr="006F3D07">
        <w:rPr>
          <w:iCs/>
          <w:sz w:val="24"/>
          <w:vertAlign w:val="superscript"/>
        </w:rPr>
        <w:t>1*</w:t>
      </w:r>
      <w:r w:rsidRPr="006F3D07">
        <w:rPr>
          <w:iCs/>
          <w:sz w:val="24"/>
        </w:rPr>
        <w:t>,</w:t>
      </w:r>
      <w:r w:rsidRPr="006F3D07">
        <w:rPr>
          <w:iCs/>
          <w:spacing w:val="-4"/>
          <w:sz w:val="24"/>
        </w:rPr>
        <w:t xml:space="preserve"> </w:t>
      </w:r>
      <w:r w:rsidRPr="006F3D07">
        <w:rPr>
          <w:iCs/>
          <w:sz w:val="24"/>
        </w:rPr>
        <w:t>C.</w:t>
      </w:r>
      <w:r w:rsidRPr="006F3D07">
        <w:rPr>
          <w:iCs/>
          <w:spacing w:val="-4"/>
          <w:sz w:val="24"/>
        </w:rPr>
        <w:t xml:space="preserve"> </w:t>
      </w:r>
      <w:r w:rsidRPr="006F3D07">
        <w:rPr>
          <w:iCs/>
          <w:sz w:val="24"/>
        </w:rPr>
        <w:t>Bignardi</w:t>
      </w:r>
      <w:r w:rsidRPr="006F3D07">
        <w:rPr>
          <w:iCs/>
          <w:sz w:val="24"/>
          <w:vertAlign w:val="superscript"/>
        </w:rPr>
        <w:t>1</w:t>
      </w:r>
      <w:r w:rsidRPr="006F3D07">
        <w:rPr>
          <w:iCs/>
          <w:sz w:val="24"/>
        </w:rPr>
        <w:t>,</w:t>
      </w:r>
      <w:r w:rsidRPr="006F3D07">
        <w:rPr>
          <w:iCs/>
          <w:spacing w:val="-4"/>
          <w:sz w:val="24"/>
        </w:rPr>
        <w:t xml:space="preserve"> </w:t>
      </w:r>
      <w:r w:rsidRPr="006F3D07">
        <w:rPr>
          <w:iCs/>
          <w:sz w:val="24"/>
        </w:rPr>
        <w:t>N.</w:t>
      </w:r>
      <w:r w:rsidRPr="006F3D07">
        <w:rPr>
          <w:iCs/>
          <w:spacing w:val="-4"/>
          <w:sz w:val="24"/>
        </w:rPr>
        <w:t xml:space="preserve"> </w:t>
      </w:r>
      <w:r w:rsidRPr="006F3D07">
        <w:rPr>
          <w:iCs/>
          <w:sz w:val="24"/>
        </w:rPr>
        <w:t>Pesqueira</w:t>
      </w:r>
      <w:r w:rsidRPr="006F3D07">
        <w:rPr>
          <w:iCs/>
          <w:sz w:val="24"/>
          <w:vertAlign w:val="superscript"/>
        </w:rPr>
        <w:t>1</w:t>
      </w:r>
      <w:r w:rsidRPr="006F3D07">
        <w:rPr>
          <w:iCs/>
          <w:sz w:val="24"/>
        </w:rPr>
        <w:t>, Y. M.</w:t>
      </w:r>
      <w:r w:rsidRPr="006F3D07">
        <w:rPr>
          <w:iCs/>
          <w:spacing w:val="-4"/>
          <w:sz w:val="24"/>
        </w:rPr>
        <w:t xml:space="preserve"> </w:t>
      </w:r>
      <w:r w:rsidRPr="006F3D07">
        <w:rPr>
          <w:iCs/>
          <w:sz w:val="24"/>
        </w:rPr>
        <w:t>Shimizo</w:t>
      </w:r>
      <w:r w:rsidRPr="006F3D07">
        <w:rPr>
          <w:iCs/>
          <w:sz w:val="24"/>
          <w:vertAlign w:val="superscript"/>
        </w:rPr>
        <w:t>1</w:t>
      </w:r>
      <w:r w:rsidRPr="006F3D07">
        <w:rPr>
          <w:iCs/>
          <w:sz w:val="24"/>
        </w:rPr>
        <w:t>, V. P.</w:t>
      </w:r>
      <w:r w:rsidRPr="006F3D07">
        <w:rPr>
          <w:iCs/>
          <w:spacing w:val="-4"/>
          <w:sz w:val="24"/>
        </w:rPr>
        <w:t xml:space="preserve"> </w:t>
      </w:r>
      <w:r w:rsidRPr="006F3D07">
        <w:rPr>
          <w:iCs/>
          <w:sz w:val="24"/>
        </w:rPr>
        <w:t>Carvalho-Jr</w:t>
      </w:r>
      <w:r w:rsidRPr="006F3D07">
        <w:rPr>
          <w:iCs/>
          <w:sz w:val="24"/>
          <w:vertAlign w:val="superscript"/>
        </w:rPr>
        <w:t>1</w:t>
      </w:r>
      <w:r w:rsidRPr="006F3D07">
        <w:rPr>
          <w:iCs/>
          <w:sz w:val="24"/>
        </w:rPr>
        <w:t xml:space="preserve">, Jacques </w:t>
      </w:r>
      <w:r w:rsidRPr="006F3D07">
        <w:rPr>
          <w:iCs/>
          <w:spacing w:val="-2"/>
          <w:sz w:val="24"/>
        </w:rPr>
        <w:t>Lalevée</w:t>
      </w:r>
      <w:r w:rsidRPr="006F3D07">
        <w:rPr>
          <w:iCs/>
          <w:spacing w:val="-2"/>
          <w:sz w:val="24"/>
          <w:vertAlign w:val="superscript"/>
        </w:rPr>
        <w:t>2</w:t>
      </w:r>
      <w:r>
        <w:rPr>
          <w:iCs/>
          <w:spacing w:val="-2"/>
          <w:sz w:val="24"/>
          <w:vertAlign w:val="superscript"/>
        </w:rPr>
        <w:br/>
      </w:r>
    </w:p>
    <w:p w14:paraId="5F5A8FCD" w14:textId="77777777" w:rsidR="00D548A2" w:rsidRDefault="00000000" w:rsidP="006F3D07">
      <w:pPr>
        <w:spacing w:before="2"/>
        <w:ind w:left="1" w:right="4"/>
        <w:rPr>
          <w:i/>
        </w:rPr>
      </w:pPr>
      <w:r w:rsidRPr="006F3D07">
        <w:rPr>
          <w:i/>
          <w:vertAlign w:val="superscript"/>
        </w:rPr>
        <w:t>1</w:t>
      </w:r>
      <w:r w:rsidRPr="006F3D07">
        <w:rPr>
          <w:i/>
        </w:rPr>
        <w:t>Department</w:t>
      </w:r>
      <w:r w:rsidRPr="006F3D07">
        <w:rPr>
          <w:i/>
          <w:spacing w:val="-5"/>
        </w:rPr>
        <w:t xml:space="preserve"> </w:t>
      </w:r>
      <w:r w:rsidRPr="006F3D07">
        <w:rPr>
          <w:i/>
        </w:rPr>
        <w:t>of</w:t>
      </w:r>
      <w:r w:rsidRPr="006F3D07">
        <w:rPr>
          <w:i/>
          <w:spacing w:val="-5"/>
        </w:rPr>
        <w:t xml:space="preserve"> </w:t>
      </w:r>
      <w:r w:rsidRPr="006F3D07">
        <w:rPr>
          <w:i/>
        </w:rPr>
        <w:t>Chemistry</w:t>
      </w:r>
      <w:r w:rsidRPr="006F3D07">
        <w:rPr>
          <w:i/>
          <w:spacing w:val="-6"/>
        </w:rPr>
        <w:t xml:space="preserve"> </w:t>
      </w:r>
      <w:r w:rsidRPr="006F3D07">
        <w:rPr>
          <w:i/>
        </w:rPr>
        <w:t>and</w:t>
      </w:r>
      <w:r w:rsidRPr="006F3D07">
        <w:rPr>
          <w:i/>
          <w:spacing w:val="-4"/>
        </w:rPr>
        <w:t xml:space="preserve"> </w:t>
      </w:r>
      <w:r w:rsidRPr="006F3D07">
        <w:rPr>
          <w:i/>
        </w:rPr>
        <w:t>Biochemistry,</w:t>
      </w:r>
      <w:r w:rsidRPr="006F3D07">
        <w:rPr>
          <w:i/>
          <w:spacing w:val="-4"/>
        </w:rPr>
        <w:t xml:space="preserve"> </w:t>
      </w:r>
      <w:r w:rsidRPr="006F3D07">
        <w:rPr>
          <w:i/>
        </w:rPr>
        <w:t>FCT-UNESP,</w:t>
      </w:r>
      <w:r w:rsidRPr="006F3D07">
        <w:rPr>
          <w:i/>
          <w:spacing w:val="-4"/>
        </w:rPr>
        <w:t xml:space="preserve"> </w:t>
      </w:r>
      <w:r w:rsidRPr="006F3D07">
        <w:rPr>
          <w:i/>
        </w:rPr>
        <w:t>Presidente</w:t>
      </w:r>
      <w:r w:rsidRPr="006F3D07">
        <w:rPr>
          <w:i/>
          <w:spacing w:val="-6"/>
        </w:rPr>
        <w:t xml:space="preserve"> </w:t>
      </w:r>
      <w:r w:rsidRPr="006F3D07">
        <w:rPr>
          <w:i/>
        </w:rPr>
        <w:t>Prudente,</w:t>
      </w:r>
      <w:r w:rsidRPr="006F3D07">
        <w:rPr>
          <w:i/>
          <w:spacing w:val="-5"/>
        </w:rPr>
        <w:t xml:space="preserve"> </w:t>
      </w:r>
      <w:r w:rsidRPr="006F3D07">
        <w:rPr>
          <w:i/>
        </w:rPr>
        <w:t>Brazil</w:t>
      </w:r>
    </w:p>
    <w:p w14:paraId="45DA8A07" w14:textId="61218E3C" w:rsidR="000D568E" w:rsidRPr="006F3D07" w:rsidRDefault="00000000" w:rsidP="006F3D07">
      <w:pPr>
        <w:spacing w:before="2"/>
        <w:ind w:left="1" w:right="4"/>
        <w:rPr>
          <w:i/>
        </w:rPr>
      </w:pPr>
      <w:r w:rsidRPr="006F3D07">
        <w:rPr>
          <w:i/>
        </w:rPr>
        <w:t xml:space="preserve"> </w:t>
      </w:r>
      <w:r w:rsidRPr="006F3D07">
        <w:rPr>
          <w:i/>
          <w:vertAlign w:val="superscript"/>
        </w:rPr>
        <w:t>2</w:t>
      </w:r>
      <w:r w:rsidRPr="006F3D07">
        <w:rPr>
          <w:i/>
        </w:rPr>
        <w:t xml:space="preserve">Institut de Science des Matériaux de Mulhouse, Université de Haute Alsace, France </w:t>
      </w:r>
    </w:p>
    <w:p w14:paraId="6BEE175E" w14:textId="77777777" w:rsidR="000D568E" w:rsidRDefault="000D568E">
      <w:pPr>
        <w:pStyle w:val="BodyText"/>
        <w:spacing w:before="139"/>
        <w:jc w:val="left"/>
        <w:rPr>
          <w:i/>
        </w:rPr>
      </w:pPr>
    </w:p>
    <w:p w14:paraId="28034F69" w14:textId="77777777" w:rsidR="000D568E" w:rsidRDefault="00000000">
      <w:pPr>
        <w:pStyle w:val="BodyText"/>
        <w:ind w:left="23" w:right="14"/>
        <w:rPr>
          <w:position w:val="2"/>
        </w:rPr>
      </w:pPr>
      <w:r>
        <w:t>In recent years, metal-based photocatalysts have emerged as key players in the development of efficient photopolymerization processes and 3D printing technologies. This work</w:t>
      </w:r>
      <w:r>
        <w:rPr>
          <w:spacing w:val="40"/>
        </w:rPr>
        <w:t xml:space="preserve"> </w:t>
      </w:r>
      <w:r>
        <w:t xml:space="preserve">highlights the design and photochemical evaluation of two new photocatalytic systems based on first-row transition metals coordinated to N-heterocyclic carbene (NHC) ligands: a </w:t>
      </w:r>
      <w:r>
        <w:rPr>
          <w:position w:val="2"/>
        </w:rPr>
        <w:t>manganese(II) complex [Mn(PyImes)</w:t>
      </w:r>
      <w:r>
        <w:rPr>
          <w:sz w:val="16"/>
        </w:rPr>
        <w:t>2</w:t>
      </w:r>
      <w:r>
        <w:rPr>
          <w:position w:val="2"/>
        </w:rPr>
        <w:t>](PF</w:t>
      </w:r>
      <w:r>
        <w:rPr>
          <w:sz w:val="16"/>
        </w:rPr>
        <w:t>6</w:t>
      </w:r>
      <w:r>
        <w:rPr>
          <w:position w:val="2"/>
        </w:rPr>
        <w:t>)</w:t>
      </w:r>
      <w:r>
        <w:rPr>
          <w:sz w:val="16"/>
        </w:rPr>
        <w:t>2</w:t>
      </w:r>
      <w:r>
        <w:rPr>
          <w:spacing w:val="29"/>
          <w:sz w:val="16"/>
        </w:rPr>
        <w:t xml:space="preserve"> </w:t>
      </w:r>
      <w:r>
        <w:rPr>
          <w:position w:val="2"/>
        </w:rPr>
        <w:t>and nickel(II) complexes [Ni(Py-NHC)</w:t>
      </w:r>
      <w:r>
        <w:rPr>
          <w:sz w:val="16"/>
        </w:rPr>
        <w:t>2</w:t>
      </w:r>
      <w:r>
        <w:rPr>
          <w:position w:val="2"/>
        </w:rPr>
        <w:t>](PF</w:t>
      </w:r>
      <w:r>
        <w:rPr>
          <w:sz w:val="16"/>
        </w:rPr>
        <w:t>6</w:t>
      </w:r>
      <w:r>
        <w:rPr>
          <w:position w:val="2"/>
        </w:rPr>
        <w:t>)</w:t>
      </w:r>
      <w:r>
        <w:rPr>
          <w:sz w:val="16"/>
        </w:rPr>
        <w:t>2</w:t>
      </w:r>
      <w:r>
        <w:rPr>
          <w:spacing w:val="40"/>
          <w:sz w:val="16"/>
        </w:rPr>
        <w:t xml:space="preserve"> </w:t>
      </w:r>
      <w:r>
        <w:rPr>
          <w:position w:val="2"/>
        </w:rPr>
        <w:t>and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[Ni(Ph-NHC)</w:t>
      </w:r>
      <w:r>
        <w:rPr>
          <w:sz w:val="16"/>
        </w:rPr>
        <w:t>2</w:t>
      </w:r>
      <w:r>
        <w:rPr>
          <w:position w:val="2"/>
        </w:rPr>
        <w:t>]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(Figure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1).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These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complexes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exhibit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visible-light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absorption</w:t>
      </w:r>
      <w:r>
        <w:rPr>
          <w:spacing w:val="80"/>
          <w:position w:val="2"/>
        </w:rPr>
        <w:t xml:space="preserve"> </w:t>
      </w:r>
      <w:r>
        <w:rPr>
          <w:position w:val="2"/>
        </w:rPr>
        <w:t>and</w:t>
      </w:r>
    </w:p>
    <w:p w14:paraId="4EA708E8" w14:textId="790D8BBD" w:rsidR="006F3D07" w:rsidRDefault="00000000" w:rsidP="006F3D07">
      <w:pPr>
        <w:pStyle w:val="BodyText"/>
        <w:ind w:right="15"/>
        <w:rPr>
          <w:spacing w:val="-2"/>
        </w:rPr>
      </w:pPr>
      <w:r>
        <w:t>photoluminescence properties, making them suitable candidates for</w:t>
      </w:r>
      <w:r>
        <w:rPr>
          <w:spacing w:val="40"/>
        </w:rPr>
        <w:t xml:space="preserve"> </w:t>
      </w:r>
      <w:r>
        <w:t>photoinduced free radical polymerization (FRP) and controlled radical photopolymerization</w:t>
      </w:r>
      <w:r>
        <w:rPr>
          <w:spacing w:val="-8"/>
        </w:rPr>
        <w:t xml:space="preserve"> </w:t>
      </w:r>
      <w:r>
        <w:t>(CRP2). The</w:t>
      </w:r>
      <w:r>
        <w:rPr>
          <w:spacing w:val="-4"/>
        </w:rPr>
        <w:t xml:space="preserve"> </w:t>
      </w:r>
      <w:r>
        <w:t>Mn(II) complex showed effective activation under LED (405–532 nm) and was successfully applied in laser-assisted 3D printing. Similarly, Ni(II)-NHC complexes</w:t>
      </w:r>
      <w:r>
        <w:rPr>
          <w:spacing w:val="77"/>
        </w:rPr>
        <w:t xml:space="preserve">   </w:t>
      </w:r>
      <w:r>
        <w:t>demonstrated</w:t>
      </w:r>
      <w:r>
        <w:rPr>
          <w:spacing w:val="79"/>
        </w:rPr>
        <w:t xml:space="preserve">   </w:t>
      </w:r>
      <w:r>
        <w:rPr>
          <w:spacing w:val="-2"/>
        </w:rPr>
        <w:t>excellent</w:t>
      </w:r>
    </w:p>
    <w:p w14:paraId="2EF15A09" w14:textId="77777777" w:rsidR="00437921" w:rsidRDefault="00437921" w:rsidP="006F3D07">
      <w:pPr>
        <w:pStyle w:val="BodyText"/>
        <w:ind w:right="15"/>
        <w:rPr>
          <w:spacing w:val="-2"/>
        </w:rPr>
      </w:pPr>
    </w:p>
    <w:p w14:paraId="50B17659" w14:textId="60151802" w:rsidR="006F3D07" w:rsidRDefault="006F3D07" w:rsidP="006F3D07">
      <w:pPr>
        <w:pStyle w:val="BodyText"/>
        <w:ind w:right="15"/>
        <w:rPr>
          <w:spacing w:val="-2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F5B3DBA" wp14:editId="68423748">
            <wp:simplePos x="0" y="0"/>
            <wp:positionH relativeFrom="page">
              <wp:posOffset>1714500</wp:posOffset>
            </wp:positionH>
            <wp:positionV relativeFrom="paragraph">
              <wp:posOffset>158750</wp:posOffset>
            </wp:positionV>
            <wp:extent cx="3090545" cy="173799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173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6350D" w14:textId="77777777" w:rsidR="006F3D07" w:rsidRDefault="006F3D07" w:rsidP="006F3D07">
      <w:pPr>
        <w:pStyle w:val="BodyText"/>
        <w:ind w:right="15"/>
        <w:rPr>
          <w:spacing w:val="-2"/>
        </w:rPr>
      </w:pPr>
    </w:p>
    <w:p w14:paraId="2D639316" w14:textId="432AE80D" w:rsidR="006F3D07" w:rsidRDefault="006F3D07" w:rsidP="006F3D07">
      <w:pPr>
        <w:pStyle w:val="BodyText"/>
        <w:ind w:right="15"/>
        <w:rPr>
          <w:spacing w:val="-2"/>
        </w:rPr>
      </w:pPr>
    </w:p>
    <w:p w14:paraId="29D8D212" w14:textId="3422CC5A" w:rsidR="006F3D07" w:rsidRDefault="006F3D07" w:rsidP="006F3D07">
      <w:pPr>
        <w:pStyle w:val="BodyText"/>
        <w:ind w:right="15"/>
        <w:rPr>
          <w:spacing w:val="-2"/>
        </w:rPr>
      </w:pPr>
    </w:p>
    <w:p w14:paraId="56244EB5" w14:textId="77777777" w:rsidR="006F3D07" w:rsidRDefault="006F3D07" w:rsidP="006F3D07">
      <w:pPr>
        <w:pStyle w:val="BodyText"/>
        <w:ind w:right="15"/>
        <w:rPr>
          <w:spacing w:val="-2"/>
        </w:rPr>
      </w:pPr>
    </w:p>
    <w:p w14:paraId="0D9E9EE3" w14:textId="4CDEBCE6" w:rsidR="006F3D07" w:rsidRDefault="006F3D07" w:rsidP="006F3D07">
      <w:pPr>
        <w:pStyle w:val="BodyText"/>
        <w:ind w:right="15"/>
        <w:rPr>
          <w:spacing w:val="-2"/>
        </w:rPr>
      </w:pPr>
    </w:p>
    <w:p w14:paraId="1BFE9022" w14:textId="77777777" w:rsidR="006F3D07" w:rsidRDefault="006F3D07" w:rsidP="006F3D07">
      <w:pPr>
        <w:pStyle w:val="BodyText"/>
        <w:ind w:right="15"/>
        <w:rPr>
          <w:spacing w:val="-2"/>
        </w:rPr>
      </w:pPr>
    </w:p>
    <w:p w14:paraId="73E83829" w14:textId="77777777" w:rsidR="006F3D07" w:rsidRDefault="006F3D07" w:rsidP="006F3D07">
      <w:pPr>
        <w:pStyle w:val="BodyText"/>
        <w:ind w:right="15"/>
        <w:rPr>
          <w:spacing w:val="-2"/>
        </w:rPr>
      </w:pPr>
    </w:p>
    <w:p w14:paraId="0431AE32" w14:textId="4C5CD60F" w:rsidR="006F3D07" w:rsidRDefault="006F3D07" w:rsidP="006F3D07">
      <w:pPr>
        <w:pStyle w:val="BodyText"/>
        <w:ind w:right="15"/>
        <w:rPr>
          <w:spacing w:val="-2"/>
        </w:rPr>
      </w:pPr>
    </w:p>
    <w:p w14:paraId="385BD13B" w14:textId="77777777" w:rsidR="006F3D07" w:rsidRDefault="006F3D07" w:rsidP="006F3D07">
      <w:pPr>
        <w:pStyle w:val="BodyText"/>
        <w:ind w:right="15"/>
        <w:rPr>
          <w:spacing w:val="-2"/>
        </w:rPr>
      </w:pPr>
    </w:p>
    <w:p w14:paraId="1B6CFBF7" w14:textId="77777777" w:rsidR="006F3D07" w:rsidRDefault="006F3D07" w:rsidP="006F3D07">
      <w:pPr>
        <w:pStyle w:val="BodyText"/>
        <w:ind w:right="15"/>
      </w:pPr>
    </w:p>
    <w:p w14:paraId="7CCA5DCE" w14:textId="11009551" w:rsidR="000D568E" w:rsidRDefault="00000000">
      <w:pPr>
        <w:spacing w:before="177"/>
        <w:ind w:left="23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1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Photoinitiating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NHC-Metal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3D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printing</w:t>
      </w:r>
    </w:p>
    <w:p w14:paraId="39AFD285" w14:textId="77777777" w:rsidR="006F3D07" w:rsidRDefault="00000000" w:rsidP="006F3D07">
      <w:pPr>
        <w:pStyle w:val="BodyText"/>
        <w:spacing w:before="184"/>
        <w:ind w:left="23" w:right="22"/>
      </w:pPr>
      <w:r>
        <w:t>performance under 405 nm irradiation, with high monomer conversions and remarkable resolution in 3D patterns. Mechanistic investigations supported by</w:t>
      </w:r>
      <w:r>
        <w:rPr>
          <w:spacing w:val="-2"/>
        </w:rPr>
        <w:t xml:space="preserve"> </w:t>
      </w:r>
      <w:r>
        <w:t>cyclic voltammetry, ESR, fluorescence quenching, and photolysis experiments confirmed their role as efficient photocatalysts via both oxidative and reductive pathways. These findings underline the potential of earth-abundant metal complexes as sustainable alternatives to precious metal- based systems in advanced manufacturing.</w:t>
      </w:r>
    </w:p>
    <w:p w14:paraId="2F6203A4" w14:textId="23D7BC21" w:rsidR="000D568E" w:rsidRDefault="006F3D07" w:rsidP="003E19F2">
      <w:pPr>
        <w:pStyle w:val="BodyText"/>
        <w:spacing w:before="184"/>
        <w:ind w:left="23" w:right="22"/>
      </w:pPr>
      <w:r>
        <w:br/>
      </w:r>
    </w:p>
    <w:sectPr w:rsidR="000D568E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568E"/>
    <w:rsid w:val="000D568E"/>
    <w:rsid w:val="003E19F2"/>
    <w:rsid w:val="00437921"/>
    <w:rsid w:val="006F3D07"/>
    <w:rsid w:val="00B90619"/>
    <w:rsid w:val="00C1105B"/>
    <w:rsid w:val="00D548A2"/>
    <w:rsid w:val="00FA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37FB1"/>
  <w15:docId w15:val="{01291D0D-057D-4BF9-A45E-B409F202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4" w:right="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EN2018</dc:creator>
  <cp:lastModifiedBy>ICMSN 2027 at Rome</cp:lastModifiedBy>
  <cp:revision>5</cp:revision>
  <dcterms:created xsi:type="dcterms:W3CDTF">2025-08-21T06:34:00Z</dcterms:created>
  <dcterms:modified xsi:type="dcterms:W3CDTF">2026-07-13T13:21:00Z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2025-08-21T00:00:00Z</vt:filetime>
  </property>
  <property fmtid="{D5CDD505-2E9C-101B-9397-08002B2CF9AE}" pid="5" name="Producer">
    <vt:lpwstr>www.ilovepdf.com</vt:lpwstr>
  </property>
</Properties>
</file>